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38A00" w14:textId="77777777" w:rsidR="00DE643F" w:rsidRPr="00D313B1" w:rsidRDefault="00DE643F" w:rsidP="00D313B1"/>
    <w:tbl>
      <w:tblPr>
        <w:tblW w:w="5000" w:type="pct"/>
        <w:tblCellMar>
          <w:top w:w="113" w:type="dxa"/>
          <w:bottom w:w="113" w:type="dxa"/>
        </w:tblCellMar>
        <w:tblLook w:val="0000" w:firstRow="0" w:lastRow="0" w:firstColumn="0" w:lastColumn="0" w:noHBand="0" w:noVBand="0"/>
      </w:tblPr>
      <w:tblGrid>
        <w:gridCol w:w="2035"/>
        <w:gridCol w:w="6991"/>
      </w:tblGrid>
      <w:tr w:rsidR="0095777E" w:rsidRPr="00D313B1" w14:paraId="7D2EAFDE" w14:textId="77777777" w:rsidTr="00290AC1">
        <w:trPr>
          <w:cantSplit/>
          <w:trHeight w:val="20"/>
        </w:trPr>
        <w:tc>
          <w:tcPr>
            <w:tcW w:w="9026" w:type="dxa"/>
            <w:gridSpan w:val="2"/>
          </w:tcPr>
          <w:p w14:paraId="3911DBEC" w14:textId="627F3370" w:rsidR="0095777E" w:rsidRPr="004E234A" w:rsidRDefault="00AB2E83" w:rsidP="00ED5170">
            <w:pPr>
              <w:contextualSpacing/>
              <w:rPr>
                <w:b/>
                <w:bCs/>
                <w:color w:val="002060"/>
                <w:sz w:val="28"/>
                <w:szCs w:val="36"/>
              </w:rPr>
            </w:pPr>
            <w:r>
              <w:rPr>
                <w:b/>
                <w:bCs/>
                <w:color w:val="002060"/>
                <w:sz w:val="28"/>
                <w:szCs w:val="36"/>
              </w:rPr>
              <w:t>CIPFA Better Governance Forum</w:t>
            </w:r>
          </w:p>
        </w:tc>
      </w:tr>
      <w:tr w:rsidR="00DE643F" w:rsidRPr="00D313B1" w14:paraId="297EA87F" w14:textId="77777777" w:rsidTr="00290AC1">
        <w:trPr>
          <w:cantSplit/>
          <w:trHeight w:val="20"/>
        </w:trPr>
        <w:tc>
          <w:tcPr>
            <w:tcW w:w="9026" w:type="dxa"/>
            <w:gridSpan w:val="2"/>
          </w:tcPr>
          <w:p w14:paraId="031DCE44" w14:textId="4D4152C5" w:rsidR="00DE643F" w:rsidRPr="00D313B1" w:rsidRDefault="00AB2E83" w:rsidP="00ED5170">
            <w:pPr>
              <w:contextualSpacing/>
              <w:rPr>
                <w:b/>
                <w:bCs/>
              </w:rPr>
            </w:pPr>
            <w:r w:rsidRPr="00AB2E83">
              <w:rPr>
                <w:b/>
                <w:bCs/>
                <w:color w:val="002060"/>
                <w:sz w:val="28"/>
                <w:szCs w:val="36"/>
              </w:rPr>
              <w:t>Introduction to the Knowledge and Skills of the Audit Committee</w:t>
            </w:r>
          </w:p>
        </w:tc>
      </w:tr>
      <w:tr w:rsidR="002832D2" w:rsidRPr="00D313B1" w14:paraId="1F3129CD" w14:textId="77777777" w:rsidTr="00290AC1">
        <w:trPr>
          <w:cantSplit/>
          <w:trHeight w:val="205"/>
        </w:trPr>
        <w:tc>
          <w:tcPr>
            <w:tcW w:w="9026" w:type="dxa"/>
            <w:gridSpan w:val="2"/>
            <w:tcBorders>
              <w:bottom w:val="single" w:sz="2" w:space="0" w:color="808080"/>
            </w:tcBorders>
          </w:tcPr>
          <w:p w14:paraId="7B12E6E7" w14:textId="77777777" w:rsidR="002832D2" w:rsidRPr="0095777E" w:rsidRDefault="002832D2" w:rsidP="00ED5170">
            <w:pPr>
              <w:contextualSpacing/>
              <w:rPr>
                <w:b/>
                <w:bCs/>
                <w:color w:val="002060"/>
              </w:rPr>
            </w:pPr>
          </w:p>
        </w:tc>
      </w:tr>
      <w:tr w:rsidR="0071736E" w:rsidRPr="00D313B1" w14:paraId="4C9D419A" w14:textId="77777777" w:rsidTr="00290AC1">
        <w:trPr>
          <w:cantSplit/>
          <w:trHeight w:val="20"/>
        </w:trPr>
        <w:tc>
          <w:tcPr>
            <w:tcW w:w="9026" w:type="dxa"/>
            <w:gridSpan w:val="2"/>
            <w:tcBorders>
              <w:top w:val="single" w:sz="2" w:space="0" w:color="808080"/>
              <w:left w:val="single" w:sz="2" w:space="0" w:color="808080"/>
              <w:right w:val="single" w:sz="2" w:space="0" w:color="808080"/>
            </w:tcBorders>
          </w:tcPr>
          <w:p w14:paraId="3C1D56F1" w14:textId="3EE27E83" w:rsidR="002C447A" w:rsidRPr="004E234A" w:rsidRDefault="00712843" w:rsidP="00ED5170">
            <w:pPr>
              <w:contextualSpacing/>
              <w:rPr>
                <w:color w:val="44546A"/>
                <w:sz w:val="24"/>
                <w:szCs w:val="32"/>
              </w:rPr>
            </w:pPr>
            <w:r>
              <w:rPr>
                <w:color w:val="44546A"/>
                <w:sz w:val="24"/>
                <w:szCs w:val="32"/>
              </w:rPr>
              <w:t>In house delivery – venue provided by client</w:t>
            </w:r>
          </w:p>
        </w:tc>
      </w:tr>
      <w:tr w:rsidR="00ED5170" w:rsidRPr="00D313B1" w14:paraId="0E1FB892" w14:textId="77777777" w:rsidTr="00290AC1">
        <w:trPr>
          <w:cantSplit/>
          <w:trHeight w:val="20"/>
        </w:trPr>
        <w:tc>
          <w:tcPr>
            <w:tcW w:w="9026" w:type="dxa"/>
            <w:gridSpan w:val="2"/>
            <w:tcBorders>
              <w:left w:val="single" w:sz="2" w:space="0" w:color="808080"/>
              <w:bottom w:val="single" w:sz="2" w:space="0" w:color="808080"/>
              <w:right w:val="single" w:sz="2" w:space="0" w:color="808080"/>
            </w:tcBorders>
          </w:tcPr>
          <w:p w14:paraId="72843881" w14:textId="6C3D5A1E" w:rsidR="00712843" w:rsidRPr="004E234A" w:rsidRDefault="00ED5170" w:rsidP="00712843">
            <w:pPr>
              <w:contextualSpacing/>
              <w:rPr>
                <w:color w:val="44546A"/>
                <w:sz w:val="24"/>
                <w:szCs w:val="32"/>
              </w:rPr>
            </w:pPr>
            <w:r w:rsidRPr="004E234A">
              <w:rPr>
                <w:color w:val="44546A"/>
                <w:sz w:val="24"/>
                <w:szCs w:val="32"/>
              </w:rPr>
              <w:t>Date</w:t>
            </w:r>
          </w:p>
          <w:p w14:paraId="47EA99EB" w14:textId="7588D848" w:rsidR="00AB2E83" w:rsidRPr="004E234A" w:rsidRDefault="00AB2E83" w:rsidP="00D257C2">
            <w:pPr>
              <w:contextualSpacing/>
              <w:rPr>
                <w:color w:val="44546A"/>
                <w:sz w:val="24"/>
                <w:szCs w:val="32"/>
              </w:rPr>
            </w:pPr>
          </w:p>
        </w:tc>
      </w:tr>
      <w:tr w:rsidR="002832D2" w:rsidRPr="00D313B1" w14:paraId="6411427C" w14:textId="77777777" w:rsidTr="00290AC1">
        <w:trPr>
          <w:cantSplit/>
          <w:trHeight w:val="20"/>
        </w:trPr>
        <w:tc>
          <w:tcPr>
            <w:tcW w:w="9026" w:type="dxa"/>
            <w:gridSpan w:val="2"/>
            <w:tcBorders>
              <w:top w:val="single" w:sz="2" w:space="0" w:color="808080"/>
              <w:bottom w:val="single" w:sz="2" w:space="0" w:color="808080"/>
            </w:tcBorders>
          </w:tcPr>
          <w:p w14:paraId="71F8779A" w14:textId="77777777" w:rsidR="002832D2" w:rsidRPr="0095777E" w:rsidRDefault="002832D2" w:rsidP="00ED5170">
            <w:pPr>
              <w:contextualSpacing/>
              <w:rPr>
                <w:color w:val="44546A"/>
              </w:rPr>
            </w:pPr>
          </w:p>
        </w:tc>
      </w:tr>
      <w:tr w:rsidR="0071736E" w:rsidRPr="00D313B1" w14:paraId="05008B1A" w14:textId="77777777" w:rsidTr="00290AC1">
        <w:trPr>
          <w:cantSplit/>
          <w:trHeight w:val="71"/>
        </w:trPr>
        <w:tc>
          <w:tcPr>
            <w:tcW w:w="9026" w:type="dxa"/>
            <w:gridSpan w:val="2"/>
            <w:tcBorders>
              <w:top w:val="single" w:sz="2" w:space="0" w:color="808080"/>
              <w:left w:val="single" w:sz="2" w:space="0" w:color="808080"/>
              <w:bottom w:val="single" w:sz="2" w:space="0" w:color="808080"/>
              <w:right w:val="single" w:sz="2" w:space="0" w:color="808080"/>
            </w:tcBorders>
          </w:tcPr>
          <w:p w14:paraId="05306C7D" w14:textId="77777777" w:rsidR="000E64E7" w:rsidRPr="000E64E7" w:rsidRDefault="000E64E7" w:rsidP="00037AF4">
            <w:pPr>
              <w:contextualSpacing/>
              <w:rPr>
                <w:b/>
                <w:bCs/>
                <w:color w:val="002060"/>
                <w:sz w:val="24"/>
                <w:szCs w:val="32"/>
              </w:rPr>
            </w:pPr>
            <w:r w:rsidRPr="000E64E7">
              <w:rPr>
                <w:b/>
                <w:bCs/>
                <w:color w:val="002060"/>
                <w:sz w:val="24"/>
                <w:szCs w:val="32"/>
              </w:rPr>
              <w:t>Purpose</w:t>
            </w:r>
          </w:p>
          <w:p w14:paraId="2DBE97EE" w14:textId="77777777" w:rsidR="000E64E7" w:rsidRDefault="000E64E7" w:rsidP="00037AF4">
            <w:pPr>
              <w:contextualSpacing/>
              <w:rPr>
                <w:color w:val="44546A"/>
              </w:rPr>
            </w:pPr>
          </w:p>
          <w:p w14:paraId="03D758DC" w14:textId="25751D3C" w:rsidR="00037AF4" w:rsidRDefault="00AB2E83" w:rsidP="00037AF4">
            <w:pPr>
              <w:contextualSpacing/>
              <w:rPr>
                <w:color w:val="44546A"/>
              </w:rPr>
            </w:pPr>
            <w:r w:rsidRPr="00AB2E83">
              <w:rPr>
                <w:color w:val="44546A"/>
              </w:rPr>
              <w:t xml:space="preserve">This course is intended for audit committee members and officers who work closely with the committee. It covers key areas of responsibility and brief committee members on </w:t>
            </w:r>
            <w:r w:rsidR="002574FF">
              <w:rPr>
                <w:color w:val="44546A"/>
              </w:rPr>
              <w:t>current guidance</w:t>
            </w:r>
            <w:r w:rsidRPr="00AB2E83">
              <w:rPr>
                <w:color w:val="44546A"/>
              </w:rPr>
              <w:t>. It will help you to make a more effective contribution to your audit committee and support your committee to improve its overall impact.</w:t>
            </w:r>
          </w:p>
          <w:p w14:paraId="1CE334F7" w14:textId="5373B774" w:rsidR="00DE4A4D" w:rsidRDefault="00DE4A4D" w:rsidP="00037AF4">
            <w:pPr>
              <w:contextualSpacing/>
              <w:rPr>
                <w:color w:val="44546A"/>
              </w:rPr>
            </w:pPr>
          </w:p>
          <w:p w14:paraId="7778A9C3" w14:textId="62CAB4EB" w:rsidR="00037AF4" w:rsidRPr="002832D2" w:rsidRDefault="00DE4A4D" w:rsidP="00037AF4">
            <w:pPr>
              <w:contextualSpacing/>
              <w:rPr>
                <w:color w:val="44546A"/>
              </w:rPr>
            </w:pPr>
            <w:r>
              <w:rPr>
                <w:color w:val="44546A"/>
              </w:rPr>
              <w:t>During the webinar we will encourage discussion, questions and sharing of experiences with audit committees. Delegates are welcome to contact the organiser in advance to highlight specific areas.</w:t>
            </w:r>
          </w:p>
          <w:p w14:paraId="789B9DC5" w14:textId="5C0244CA" w:rsidR="00455B9A" w:rsidRPr="004E234A" w:rsidRDefault="00455B9A" w:rsidP="00037AF4">
            <w:pPr>
              <w:contextualSpacing/>
              <w:rPr>
                <w:color w:val="44546A"/>
                <w:sz w:val="24"/>
                <w:szCs w:val="32"/>
              </w:rPr>
            </w:pPr>
          </w:p>
        </w:tc>
      </w:tr>
      <w:tr w:rsidR="002832D2" w:rsidRPr="00D313B1" w14:paraId="6F3291A5" w14:textId="77777777" w:rsidTr="00290AC1">
        <w:trPr>
          <w:cantSplit/>
          <w:trHeight w:val="71"/>
        </w:trPr>
        <w:tc>
          <w:tcPr>
            <w:tcW w:w="9026" w:type="dxa"/>
            <w:gridSpan w:val="2"/>
          </w:tcPr>
          <w:p w14:paraId="00E513BB" w14:textId="77777777" w:rsidR="002832D2" w:rsidRPr="0095777E" w:rsidRDefault="002832D2" w:rsidP="00ED5170">
            <w:pPr>
              <w:contextualSpacing/>
              <w:rPr>
                <w:color w:val="44546A"/>
              </w:rPr>
            </w:pPr>
          </w:p>
        </w:tc>
      </w:tr>
      <w:tr w:rsidR="000E64E7" w:rsidRPr="00D313B1" w14:paraId="48B6C640" w14:textId="77777777" w:rsidTr="00290AC1">
        <w:trPr>
          <w:cantSplit/>
          <w:trHeight w:val="71"/>
        </w:trPr>
        <w:tc>
          <w:tcPr>
            <w:tcW w:w="9026" w:type="dxa"/>
            <w:gridSpan w:val="2"/>
            <w:tcBorders>
              <w:top w:val="single" w:sz="2" w:space="0" w:color="808080"/>
              <w:left w:val="single" w:sz="2" w:space="0" w:color="808080"/>
              <w:bottom w:val="single" w:sz="2" w:space="0" w:color="808080"/>
              <w:right w:val="single" w:sz="2" w:space="0" w:color="808080"/>
            </w:tcBorders>
          </w:tcPr>
          <w:p w14:paraId="020A674D" w14:textId="77777777" w:rsidR="000E64E7" w:rsidRPr="000E64E7" w:rsidRDefault="000E64E7" w:rsidP="000E64E7">
            <w:pPr>
              <w:contextualSpacing/>
              <w:rPr>
                <w:b/>
                <w:bCs/>
                <w:color w:val="002060"/>
                <w:sz w:val="24"/>
                <w:szCs w:val="32"/>
              </w:rPr>
            </w:pPr>
            <w:r>
              <w:rPr>
                <w:b/>
                <w:bCs/>
                <w:color w:val="002060"/>
                <w:sz w:val="24"/>
                <w:szCs w:val="32"/>
              </w:rPr>
              <w:t>Learning Outcomes</w:t>
            </w:r>
          </w:p>
          <w:p w14:paraId="64299377" w14:textId="77777777" w:rsidR="000E64E7" w:rsidRDefault="000E64E7" w:rsidP="000E64E7">
            <w:pPr>
              <w:contextualSpacing/>
              <w:rPr>
                <w:color w:val="44546A"/>
              </w:rPr>
            </w:pPr>
          </w:p>
          <w:p w14:paraId="3D299AEA" w14:textId="5C04E2F3" w:rsidR="00AB2E83" w:rsidRPr="00AB2E83" w:rsidRDefault="00AB2E83" w:rsidP="00AB2E83">
            <w:pPr>
              <w:contextualSpacing/>
              <w:rPr>
                <w:color w:val="44546A"/>
              </w:rPr>
            </w:pPr>
            <w:r w:rsidRPr="00AB2E83">
              <w:rPr>
                <w:color w:val="44546A"/>
              </w:rPr>
              <w:t>By the end of this course you will:</w:t>
            </w:r>
          </w:p>
          <w:p w14:paraId="0028DA9A" w14:textId="77777777" w:rsidR="00AB2E83" w:rsidRPr="00AB2E83" w:rsidRDefault="00AB2E83" w:rsidP="00AB2E83">
            <w:pPr>
              <w:contextualSpacing/>
              <w:rPr>
                <w:color w:val="44546A"/>
              </w:rPr>
            </w:pPr>
          </w:p>
          <w:p w14:paraId="3A570662" w14:textId="42836B4E" w:rsidR="00AB2E83" w:rsidRPr="00AB2E83" w:rsidRDefault="00406ED0" w:rsidP="00AB2E83">
            <w:pPr>
              <w:pStyle w:val="ListParagraph"/>
              <w:numPr>
                <w:ilvl w:val="0"/>
                <w:numId w:val="5"/>
              </w:numPr>
              <w:rPr>
                <w:color w:val="44546A"/>
              </w:rPr>
            </w:pPr>
            <w:r>
              <w:rPr>
                <w:color w:val="44546A"/>
              </w:rPr>
              <w:t>Understand t</w:t>
            </w:r>
            <w:r w:rsidR="00AB2E83" w:rsidRPr="00AB2E83">
              <w:rPr>
                <w:color w:val="44546A"/>
              </w:rPr>
              <w:t>he wider roles and responsibilities of the audit committee and the importance of gaining assurance</w:t>
            </w:r>
          </w:p>
          <w:p w14:paraId="379CBF89" w14:textId="79C64821" w:rsidR="00AB2E83" w:rsidRPr="00AB2E83" w:rsidRDefault="00406ED0" w:rsidP="00AB2E83">
            <w:pPr>
              <w:pStyle w:val="ListParagraph"/>
              <w:numPr>
                <w:ilvl w:val="0"/>
                <w:numId w:val="5"/>
              </w:numPr>
              <w:rPr>
                <w:color w:val="44546A"/>
              </w:rPr>
            </w:pPr>
            <w:r>
              <w:rPr>
                <w:color w:val="44546A"/>
              </w:rPr>
              <w:t>Know h</w:t>
            </w:r>
            <w:r w:rsidR="00AB2E83" w:rsidRPr="00AB2E83">
              <w:rPr>
                <w:color w:val="44546A"/>
              </w:rPr>
              <w:t xml:space="preserve">ow current developments will impact on the work of </w:t>
            </w:r>
            <w:r>
              <w:rPr>
                <w:color w:val="44546A"/>
              </w:rPr>
              <w:t>your</w:t>
            </w:r>
            <w:r w:rsidRPr="00AB2E83">
              <w:rPr>
                <w:color w:val="44546A"/>
              </w:rPr>
              <w:t xml:space="preserve"> </w:t>
            </w:r>
            <w:r w:rsidR="00AB2E83" w:rsidRPr="00AB2E83">
              <w:rPr>
                <w:color w:val="44546A"/>
              </w:rPr>
              <w:t xml:space="preserve">committee and shape </w:t>
            </w:r>
            <w:r>
              <w:rPr>
                <w:color w:val="44546A"/>
              </w:rPr>
              <w:t>its</w:t>
            </w:r>
            <w:r w:rsidRPr="00AB2E83">
              <w:rPr>
                <w:color w:val="44546A"/>
              </w:rPr>
              <w:t xml:space="preserve"> </w:t>
            </w:r>
            <w:r w:rsidR="00AB2E83" w:rsidRPr="00AB2E83">
              <w:rPr>
                <w:color w:val="44546A"/>
              </w:rPr>
              <w:t>agenda.</w:t>
            </w:r>
          </w:p>
          <w:p w14:paraId="136CBC25" w14:textId="52F9B482" w:rsidR="00AB2E83" w:rsidRPr="00AB2E83" w:rsidRDefault="00406ED0" w:rsidP="00AB2E83">
            <w:pPr>
              <w:pStyle w:val="ListParagraph"/>
              <w:numPr>
                <w:ilvl w:val="0"/>
                <w:numId w:val="5"/>
              </w:numPr>
              <w:rPr>
                <w:color w:val="44546A"/>
              </w:rPr>
            </w:pPr>
            <w:r>
              <w:rPr>
                <w:color w:val="44546A"/>
              </w:rPr>
              <w:t>Be better placed</w:t>
            </w:r>
            <w:r w:rsidRPr="00AB2E83">
              <w:rPr>
                <w:color w:val="44546A"/>
              </w:rPr>
              <w:t xml:space="preserve"> </w:t>
            </w:r>
            <w:r w:rsidR="00AB2E83" w:rsidRPr="00AB2E83">
              <w:rPr>
                <w:color w:val="44546A"/>
              </w:rPr>
              <w:t>to work with your internal auditors, including understanding the requirements of the Public Sector Internal Audit Standards</w:t>
            </w:r>
          </w:p>
          <w:p w14:paraId="4D7A94F5" w14:textId="25A44D67" w:rsidR="00AB2E83" w:rsidRPr="00AB2E83" w:rsidRDefault="00406ED0" w:rsidP="00AB2E83">
            <w:pPr>
              <w:pStyle w:val="ListParagraph"/>
              <w:numPr>
                <w:ilvl w:val="0"/>
                <w:numId w:val="5"/>
              </w:numPr>
              <w:rPr>
                <w:color w:val="44546A"/>
              </w:rPr>
            </w:pPr>
            <w:r>
              <w:rPr>
                <w:color w:val="44546A"/>
              </w:rPr>
              <w:t>Appreciate h</w:t>
            </w:r>
            <w:r w:rsidR="00AB2E83" w:rsidRPr="00AB2E83">
              <w:rPr>
                <w:color w:val="44546A"/>
              </w:rPr>
              <w:t xml:space="preserve">ow the audit committee </w:t>
            </w:r>
            <w:r>
              <w:rPr>
                <w:color w:val="44546A"/>
              </w:rPr>
              <w:t>should</w:t>
            </w:r>
            <w:r w:rsidRPr="00AB2E83">
              <w:rPr>
                <w:color w:val="44546A"/>
              </w:rPr>
              <w:t xml:space="preserve"> </w:t>
            </w:r>
            <w:r w:rsidR="00AB2E83" w:rsidRPr="00AB2E83">
              <w:rPr>
                <w:color w:val="44546A"/>
              </w:rPr>
              <w:t xml:space="preserve">work with others to improve the management of </w:t>
            </w:r>
            <w:r w:rsidR="00163829">
              <w:rPr>
                <w:color w:val="44546A"/>
              </w:rPr>
              <w:t>its</w:t>
            </w:r>
            <w:r w:rsidR="00163829" w:rsidRPr="00AB2E83">
              <w:rPr>
                <w:color w:val="44546A"/>
              </w:rPr>
              <w:t xml:space="preserve"> </w:t>
            </w:r>
            <w:r w:rsidR="00AB2E83" w:rsidRPr="00AB2E83">
              <w:rPr>
                <w:color w:val="44546A"/>
              </w:rPr>
              <w:t>organisation’s risk</w:t>
            </w:r>
          </w:p>
          <w:p w14:paraId="72B159B6" w14:textId="748E3556" w:rsidR="00AB2E83" w:rsidRPr="00AB2E83" w:rsidRDefault="00406ED0" w:rsidP="00AB2E83">
            <w:pPr>
              <w:pStyle w:val="ListParagraph"/>
              <w:numPr>
                <w:ilvl w:val="0"/>
                <w:numId w:val="5"/>
              </w:numPr>
              <w:rPr>
                <w:color w:val="44546A"/>
              </w:rPr>
            </w:pPr>
            <w:r>
              <w:rPr>
                <w:color w:val="44546A"/>
              </w:rPr>
              <w:t>Have i</w:t>
            </w:r>
            <w:r w:rsidR="00AB2E83" w:rsidRPr="00AB2E83">
              <w:rPr>
                <w:color w:val="44546A"/>
              </w:rPr>
              <w:t>mproved</w:t>
            </w:r>
            <w:r>
              <w:rPr>
                <w:color w:val="44546A"/>
              </w:rPr>
              <w:t xml:space="preserve"> the</w:t>
            </w:r>
            <w:r w:rsidR="00AB2E83" w:rsidRPr="00AB2E83">
              <w:rPr>
                <w:color w:val="44546A"/>
              </w:rPr>
              <w:t xml:space="preserve"> practical skills required of committee members </w:t>
            </w:r>
          </w:p>
          <w:p w14:paraId="25765C11" w14:textId="449C5FD2" w:rsidR="000E64E7" w:rsidRPr="00DE4A4D" w:rsidRDefault="00406ED0" w:rsidP="000E64E7">
            <w:pPr>
              <w:pStyle w:val="ListParagraph"/>
              <w:numPr>
                <w:ilvl w:val="0"/>
                <w:numId w:val="5"/>
              </w:numPr>
              <w:rPr>
                <w:color w:val="44546A"/>
              </w:rPr>
            </w:pPr>
            <w:r>
              <w:rPr>
                <w:color w:val="44546A"/>
              </w:rPr>
              <w:t>Have d</w:t>
            </w:r>
            <w:r w:rsidR="00AB2E83" w:rsidRPr="00AB2E83">
              <w:rPr>
                <w:color w:val="44546A"/>
              </w:rPr>
              <w:t xml:space="preserve">eveloped an appreciation of where an audit committee can add value and </w:t>
            </w:r>
            <w:r>
              <w:rPr>
                <w:color w:val="44546A"/>
              </w:rPr>
              <w:t xml:space="preserve">how to </w:t>
            </w:r>
            <w:r w:rsidR="00AB2E83" w:rsidRPr="00AB2E83">
              <w:rPr>
                <w:color w:val="44546A"/>
              </w:rPr>
              <w:t>demonstrate its effectiveness.</w:t>
            </w:r>
          </w:p>
        </w:tc>
      </w:tr>
      <w:tr w:rsidR="000E64E7" w:rsidRPr="00D313B1" w14:paraId="0A39752F" w14:textId="77777777" w:rsidTr="00290AC1">
        <w:trPr>
          <w:cantSplit/>
          <w:trHeight w:val="71"/>
        </w:trPr>
        <w:tc>
          <w:tcPr>
            <w:tcW w:w="9026" w:type="dxa"/>
            <w:gridSpan w:val="2"/>
          </w:tcPr>
          <w:p w14:paraId="26E0696E" w14:textId="77777777" w:rsidR="000E64E7" w:rsidRPr="0095777E" w:rsidRDefault="000E64E7" w:rsidP="00ED5170">
            <w:pPr>
              <w:contextualSpacing/>
              <w:rPr>
                <w:b/>
                <w:bCs/>
                <w:color w:val="002060"/>
              </w:rPr>
            </w:pPr>
          </w:p>
        </w:tc>
      </w:tr>
      <w:tr w:rsidR="000E64E7" w:rsidRPr="00D313B1" w14:paraId="3CDBA497" w14:textId="77777777" w:rsidTr="00290AC1">
        <w:trPr>
          <w:cantSplit/>
          <w:trHeight w:val="71"/>
        </w:trPr>
        <w:tc>
          <w:tcPr>
            <w:tcW w:w="9026" w:type="dxa"/>
            <w:gridSpan w:val="2"/>
            <w:tcBorders>
              <w:top w:val="single" w:sz="2" w:space="0" w:color="808080"/>
              <w:left w:val="single" w:sz="2" w:space="0" w:color="808080"/>
              <w:bottom w:val="single" w:sz="2" w:space="0" w:color="808080"/>
              <w:right w:val="single" w:sz="2" w:space="0" w:color="808080"/>
            </w:tcBorders>
          </w:tcPr>
          <w:p w14:paraId="595145D8" w14:textId="77777777" w:rsidR="000E64E7" w:rsidRPr="000E64E7" w:rsidRDefault="000E64E7" w:rsidP="000E64E7">
            <w:pPr>
              <w:contextualSpacing/>
              <w:rPr>
                <w:b/>
                <w:bCs/>
                <w:color w:val="002060"/>
                <w:sz w:val="24"/>
                <w:szCs w:val="32"/>
              </w:rPr>
            </w:pPr>
            <w:r>
              <w:rPr>
                <w:b/>
                <w:bCs/>
                <w:color w:val="002060"/>
                <w:sz w:val="24"/>
                <w:szCs w:val="32"/>
              </w:rPr>
              <w:t xml:space="preserve">Who Will </w:t>
            </w:r>
            <w:proofErr w:type="gramStart"/>
            <w:r>
              <w:rPr>
                <w:b/>
                <w:bCs/>
                <w:color w:val="002060"/>
                <w:sz w:val="24"/>
                <w:szCs w:val="32"/>
              </w:rPr>
              <w:t>Benefit</w:t>
            </w:r>
            <w:proofErr w:type="gramEnd"/>
          </w:p>
          <w:p w14:paraId="1DF14B09" w14:textId="77777777" w:rsidR="000E64E7" w:rsidRDefault="000E64E7" w:rsidP="000E64E7">
            <w:pPr>
              <w:contextualSpacing/>
              <w:rPr>
                <w:color w:val="44546A"/>
              </w:rPr>
            </w:pPr>
          </w:p>
          <w:p w14:paraId="2B74D9FE" w14:textId="68698DF6" w:rsidR="000E64E7" w:rsidRPr="00ED5170" w:rsidRDefault="00AB2E83" w:rsidP="00712843">
            <w:pPr>
              <w:contextualSpacing/>
              <w:rPr>
                <w:b/>
                <w:bCs/>
                <w:color w:val="002060"/>
                <w:sz w:val="24"/>
                <w:szCs w:val="32"/>
              </w:rPr>
            </w:pPr>
            <w:r w:rsidRPr="00AB2E83">
              <w:rPr>
                <w:color w:val="44546A"/>
              </w:rPr>
              <w:t xml:space="preserve">This course is designed for audit committee members in the public </w:t>
            </w:r>
            <w:r w:rsidR="00406ED0">
              <w:rPr>
                <w:color w:val="44546A"/>
              </w:rPr>
              <w:t>sector</w:t>
            </w:r>
            <w:r w:rsidRPr="00AB2E83">
              <w:rPr>
                <w:color w:val="44546A"/>
              </w:rPr>
              <w:t>, both elected and independents. Officers who support audit committees will find this course a useful opportunity to gain an unfettered view of what members really expect of them.</w:t>
            </w:r>
            <w:r w:rsidR="00AF73E5">
              <w:rPr>
                <w:color w:val="44546A"/>
              </w:rPr>
              <w:t xml:space="preserve"> </w:t>
            </w:r>
          </w:p>
        </w:tc>
      </w:tr>
      <w:tr w:rsidR="000E64E7" w:rsidRPr="00D313B1" w14:paraId="04BA965A" w14:textId="77777777" w:rsidTr="00290AC1">
        <w:trPr>
          <w:cantSplit/>
          <w:trHeight w:val="71"/>
        </w:trPr>
        <w:tc>
          <w:tcPr>
            <w:tcW w:w="9026" w:type="dxa"/>
            <w:gridSpan w:val="2"/>
          </w:tcPr>
          <w:p w14:paraId="5145FAFD" w14:textId="77777777" w:rsidR="000E64E7" w:rsidRPr="0095777E" w:rsidRDefault="000E64E7" w:rsidP="00ED5170">
            <w:pPr>
              <w:contextualSpacing/>
              <w:rPr>
                <w:b/>
                <w:bCs/>
                <w:color w:val="002060"/>
              </w:rPr>
            </w:pPr>
          </w:p>
        </w:tc>
      </w:tr>
      <w:tr w:rsidR="00ED5170" w:rsidRPr="00D313B1" w14:paraId="39562FC0" w14:textId="77777777" w:rsidTr="00290AC1">
        <w:trPr>
          <w:cantSplit/>
          <w:trHeight w:val="71"/>
        </w:trPr>
        <w:tc>
          <w:tcPr>
            <w:tcW w:w="9026" w:type="dxa"/>
            <w:gridSpan w:val="2"/>
          </w:tcPr>
          <w:p w14:paraId="0526B764" w14:textId="2054AB4D" w:rsidR="00ED5170" w:rsidRPr="004E234A" w:rsidRDefault="00ED5170" w:rsidP="00ED5170">
            <w:pPr>
              <w:contextualSpacing/>
              <w:rPr>
                <w:color w:val="44546A"/>
              </w:rPr>
            </w:pPr>
            <w:bookmarkStart w:id="0" w:name="_Hlk45722532"/>
            <w:r w:rsidRPr="00ED5170">
              <w:rPr>
                <w:b/>
                <w:bCs/>
                <w:color w:val="002060"/>
                <w:sz w:val="24"/>
                <w:szCs w:val="32"/>
              </w:rPr>
              <w:t>Programme</w:t>
            </w:r>
            <w:r w:rsidR="00210A49">
              <w:rPr>
                <w:b/>
                <w:bCs/>
                <w:color w:val="002060"/>
                <w:sz w:val="24"/>
                <w:szCs w:val="32"/>
              </w:rPr>
              <w:t xml:space="preserve"> </w:t>
            </w:r>
          </w:p>
        </w:tc>
      </w:tr>
      <w:tr w:rsidR="0071736E" w:rsidRPr="00D313B1" w14:paraId="0FC3AF02" w14:textId="77777777" w:rsidTr="00290AC1">
        <w:trPr>
          <w:cantSplit/>
          <w:trHeight w:val="20"/>
        </w:trPr>
        <w:tc>
          <w:tcPr>
            <w:tcW w:w="2035" w:type="dxa"/>
            <w:tcBorders>
              <w:bottom w:val="single" w:sz="2" w:space="0" w:color="808080"/>
            </w:tcBorders>
          </w:tcPr>
          <w:p w14:paraId="3A72A9F9" w14:textId="5CDD5A17" w:rsidR="00884C8F" w:rsidRPr="00D313B1" w:rsidRDefault="00272F4E" w:rsidP="005E340C">
            <w:pPr>
              <w:contextualSpacing/>
              <w:rPr>
                <w:color w:val="002060"/>
              </w:rPr>
            </w:pPr>
            <w:r w:rsidRPr="00D313B1">
              <w:rPr>
                <w:color w:val="002060"/>
              </w:rPr>
              <w:t>09</w:t>
            </w:r>
            <w:r w:rsidR="005E340C">
              <w:rPr>
                <w:color w:val="002060"/>
              </w:rPr>
              <w:t>:</w:t>
            </w:r>
            <w:r w:rsidR="00AB2E83">
              <w:rPr>
                <w:color w:val="002060"/>
              </w:rPr>
              <w:t>45</w:t>
            </w:r>
            <w:r w:rsidRPr="00D313B1">
              <w:rPr>
                <w:color w:val="002060"/>
              </w:rPr>
              <w:t xml:space="preserve"> – </w:t>
            </w:r>
            <w:r w:rsidR="00AB2E83">
              <w:rPr>
                <w:color w:val="002060"/>
              </w:rPr>
              <w:t>10</w:t>
            </w:r>
            <w:r w:rsidR="00ED5170">
              <w:rPr>
                <w:color w:val="002060"/>
              </w:rPr>
              <w:t>:</w:t>
            </w:r>
            <w:r w:rsidR="00AB2E83">
              <w:rPr>
                <w:color w:val="002060"/>
              </w:rPr>
              <w:t>0</w:t>
            </w:r>
            <w:r w:rsidR="00ED5170">
              <w:rPr>
                <w:color w:val="002060"/>
              </w:rPr>
              <w:t>0</w:t>
            </w:r>
          </w:p>
        </w:tc>
        <w:tc>
          <w:tcPr>
            <w:tcW w:w="6991" w:type="dxa"/>
            <w:tcBorders>
              <w:bottom w:val="single" w:sz="2" w:space="0" w:color="808080"/>
            </w:tcBorders>
          </w:tcPr>
          <w:p w14:paraId="59C063CD" w14:textId="6847C216" w:rsidR="00884C8F" w:rsidRDefault="00C82422" w:rsidP="00ED5170">
            <w:pPr>
              <w:contextualSpacing/>
              <w:rPr>
                <w:b/>
                <w:bCs/>
                <w:color w:val="002060"/>
              </w:rPr>
            </w:pPr>
            <w:r>
              <w:rPr>
                <w:b/>
                <w:bCs/>
                <w:color w:val="002060"/>
              </w:rPr>
              <w:t>Refreshments</w:t>
            </w:r>
          </w:p>
          <w:p w14:paraId="5BEF8B66" w14:textId="2324EF2D" w:rsidR="00AB2E83" w:rsidRPr="00AB2E83" w:rsidRDefault="00AB2E83" w:rsidP="00ED5170">
            <w:pPr>
              <w:contextualSpacing/>
              <w:rPr>
                <w:i/>
                <w:iCs/>
                <w:color w:val="44546A"/>
              </w:rPr>
            </w:pPr>
          </w:p>
        </w:tc>
      </w:tr>
      <w:tr w:rsidR="0071736E" w:rsidRPr="00D313B1" w14:paraId="732955BB" w14:textId="77777777" w:rsidTr="00290AC1">
        <w:trPr>
          <w:cantSplit/>
          <w:trHeight w:val="20"/>
        </w:trPr>
        <w:tc>
          <w:tcPr>
            <w:tcW w:w="2035" w:type="dxa"/>
            <w:tcBorders>
              <w:top w:val="single" w:sz="2" w:space="0" w:color="808080"/>
              <w:bottom w:val="single" w:sz="2" w:space="0" w:color="808080"/>
            </w:tcBorders>
          </w:tcPr>
          <w:p w14:paraId="611DA93B" w14:textId="4A1EB1D1" w:rsidR="001E5527" w:rsidRPr="00D313B1" w:rsidRDefault="00AB2E83" w:rsidP="005E340C">
            <w:pPr>
              <w:contextualSpacing/>
              <w:rPr>
                <w:color w:val="002060"/>
              </w:rPr>
            </w:pPr>
            <w:bookmarkStart w:id="1" w:name="_Hlk42770038"/>
            <w:bookmarkEnd w:id="0"/>
            <w:r>
              <w:rPr>
                <w:color w:val="002060"/>
              </w:rPr>
              <w:t>10</w:t>
            </w:r>
            <w:r w:rsidR="00ED5170">
              <w:rPr>
                <w:color w:val="002060"/>
              </w:rPr>
              <w:t>:</w:t>
            </w:r>
            <w:r>
              <w:rPr>
                <w:color w:val="002060"/>
              </w:rPr>
              <w:t>0</w:t>
            </w:r>
            <w:r w:rsidR="00ED5170">
              <w:rPr>
                <w:color w:val="002060"/>
              </w:rPr>
              <w:t>0</w:t>
            </w:r>
            <w:r w:rsidR="001E5527" w:rsidRPr="00D313B1">
              <w:rPr>
                <w:color w:val="002060"/>
              </w:rPr>
              <w:t xml:space="preserve"> – 1</w:t>
            </w:r>
            <w:r w:rsidR="00E8232A" w:rsidRPr="00D313B1">
              <w:rPr>
                <w:color w:val="002060"/>
              </w:rPr>
              <w:t>0</w:t>
            </w:r>
            <w:r w:rsidR="005E340C">
              <w:rPr>
                <w:color w:val="002060"/>
              </w:rPr>
              <w:t>:</w:t>
            </w:r>
            <w:r w:rsidR="00210A49">
              <w:rPr>
                <w:color w:val="002060"/>
              </w:rPr>
              <w:t>1</w:t>
            </w:r>
            <w:r w:rsidR="00ED5170">
              <w:rPr>
                <w:color w:val="002060"/>
              </w:rPr>
              <w:t>0</w:t>
            </w:r>
          </w:p>
        </w:tc>
        <w:tc>
          <w:tcPr>
            <w:tcW w:w="6991" w:type="dxa"/>
            <w:tcBorders>
              <w:top w:val="single" w:sz="2" w:space="0" w:color="808080"/>
              <w:bottom w:val="single" w:sz="2" w:space="0" w:color="808080"/>
            </w:tcBorders>
          </w:tcPr>
          <w:p w14:paraId="49F21D8A" w14:textId="5F1F42DB" w:rsidR="00260BFE" w:rsidRDefault="00210A49" w:rsidP="00ED5170">
            <w:pPr>
              <w:contextualSpacing/>
              <w:rPr>
                <w:b/>
                <w:bCs/>
                <w:color w:val="002060"/>
              </w:rPr>
            </w:pPr>
            <w:r w:rsidRPr="00210A49">
              <w:rPr>
                <w:b/>
                <w:bCs/>
                <w:color w:val="002060"/>
              </w:rPr>
              <w:t>Introductions and welcome</w:t>
            </w:r>
          </w:p>
          <w:p w14:paraId="64A042A3" w14:textId="35CBE1F8" w:rsidR="00DE643F" w:rsidRPr="004E234A" w:rsidRDefault="00DE643F" w:rsidP="002832D2">
            <w:pPr>
              <w:contextualSpacing/>
              <w:rPr>
                <w:color w:val="44546A"/>
              </w:rPr>
            </w:pPr>
          </w:p>
        </w:tc>
      </w:tr>
      <w:tr w:rsidR="00ED5170" w:rsidRPr="00D313B1" w14:paraId="20B0398D" w14:textId="77777777" w:rsidTr="00290AC1">
        <w:trPr>
          <w:cantSplit/>
          <w:trHeight w:val="20"/>
        </w:trPr>
        <w:tc>
          <w:tcPr>
            <w:tcW w:w="2035" w:type="dxa"/>
            <w:tcBorders>
              <w:top w:val="single" w:sz="2" w:space="0" w:color="808080"/>
              <w:bottom w:val="single" w:sz="2" w:space="0" w:color="808080"/>
            </w:tcBorders>
          </w:tcPr>
          <w:p w14:paraId="13CAE411" w14:textId="1C77B87D" w:rsidR="00ED5170" w:rsidRPr="00D313B1" w:rsidRDefault="00ED5170" w:rsidP="005E340C">
            <w:pPr>
              <w:contextualSpacing/>
              <w:rPr>
                <w:color w:val="002060"/>
              </w:rPr>
            </w:pPr>
            <w:r w:rsidRPr="00D313B1">
              <w:rPr>
                <w:color w:val="002060"/>
              </w:rPr>
              <w:t>10</w:t>
            </w:r>
            <w:r w:rsidR="005E340C">
              <w:rPr>
                <w:color w:val="002060"/>
              </w:rPr>
              <w:t>:</w:t>
            </w:r>
            <w:r w:rsidR="00210A49">
              <w:rPr>
                <w:color w:val="002060"/>
              </w:rPr>
              <w:t>1</w:t>
            </w:r>
            <w:r>
              <w:rPr>
                <w:color w:val="002060"/>
              </w:rPr>
              <w:t>0</w:t>
            </w:r>
            <w:r w:rsidRPr="00D313B1">
              <w:rPr>
                <w:color w:val="002060"/>
              </w:rPr>
              <w:t xml:space="preserve"> – </w:t>
            </w:r>
            <w:r>
              <w:rPr>
                <w:color w:val="002060"/>
              </w:rPr>
              <w:t>10:</w:t>
            </w:r>
            <w:r w:rsidR="00631DD8">
              <w:rPr>
                <w:color w:val="002060"/>
              </w:rPr>
              <w:t>4</w:t>
            </w:r>
            <w:r>
              <w:rPr>
                <w:color w:val="002060"/>
              </w:rPr>
              <w:t>0</w:t>
            </w:r>
          </w:p>
        </w:tc>
        <w:tc>
          <w:tcPr>
            <w:tcW w:w="6991" w:type="dxa"/>
            <w:tcBorders>
              <w:top w:val="single" w:sz="2" w:space="0" w:color="808080"/>
              <w:bottom w:val="single" w:sz="2" w:space="0" w:color="808080"/>
            </w:tcBorders>
          </w:tcPr>
          <w:p w14:paraId="699C20D6" w14:textId="223FC712" w:rsidR="00ED5170" w:rsidRPr="00ED5170" w:rsidRDefault="007108F3" w:rsidP="00ED5170">
            <w:pPr>
              <w:contextualSpacing/>
              <w:rPr>
                <w:b/>
                <w:bCs/>
                <w:color w:val="002060"/>
              </w:rPr>
            </w:pPr>
            <w:r>
              <w:rPr>
                <w:b/>
                <w:bCs/>
                <w:color w:val="002060"/>
              </w:rPr>
              <w:t>Thinking about</w:t>
            </w:r>
            <w:r w:rsidRPr="00210A49">
              <w:rPr>
                <w:b/>
                <w:bCs/>
                <w:color w:val="002060"/>
              </w:rPr>
              <w:t xml:space="preserve"> </w:t>
            </w:r>
            <w:r w:rsidR="00210A49" w:rsidRPr="00210A49">
              <w:rPr>
                <w:b/>
                <w:bCs/>
                <w:color w:val="002060"/>
              </w:rPr>
              <w:t>assurance and the role of the committee</w:t>
            </w:r>
          </w:p>
          <w:p w14:paraId="25A4A895" w14:textId="77777777" w:rsidR="00ED5170" w:rsidRPr="004E234A" w:rsidRDefault="00ED5170" w:rsidP="00ED5170">
            <w:pPr>
              <w:contextualSpacing/>
              <w:rPr>
                <w:color w:val="44546A"/>
              </w:rPr>
            </w:pPr>
          </w:p>
          <w:p w14:paraId="76E130AC" w14:textId="66863960" w:rsidR="00210A49" w:rsidRPr="00631DD8" w:rsidRDefault="00210A49" w:rsidP="00631DD8">
            <w:pPr>
              <w:pStyle w:val="ListParagraph"/>
              <w:numPr>
                <w:ilvl w:val="0"/>
                <w:numId w:val="5"/>
              </w:numPr>
              <w:ind w:left="690" w:hanging="330"/>
              <w:rPr>
                <w:color w:val="44546A"/>
              </w:rPr>
            </w:pPr>
            <w:r w:rsidRPr="00631DD8">
              <w:rPr>
                <w:color w:val="44546A"/>
              </w:rPr>
              <w:t>The scope of audit committee terms of reference</w:t>
            </w:r>
          </w:p>
          <w:p w14:paraId="3815259B" w14:textId="330D7BF7" w:rsidR="00210A49" w:rsidRPr="00631DD8" w:rsidRDefault="00210A49" w:rsidP="00631DD8">
            <w:pPr>
              <w:pStyle w:val="ListParagraph"/>
              <w:numPr>
                <w:ilvl w:val="0"/>
                <w:numId w:val="5"/>
              </w:numPr>
              <w:ind w:left="690" w:hanging="330"/>
              <w:rPr>
                <w:color w:val="44546A"/>
              </w:rPr>
            </w:pPr>
            <w:r w:rsidRPr="00631DD8">
              <w:rPr>
                <w:color w:val="44546A"/>
              </w:rPr>
              <w:t>Key areas of responsibility</w:t>
            </w:r>
          </w:p>
          <w:p w14:paraId="1E506D2C" w14:textId="1FF340FD" w:rsidR="00210A49" w:rsidRPr="00631DD8" w:rsidRDefault="007108F3" w:rsidP="00631DD8">
            <w:pPr>
              <w:pStyle w:val="ListParagraph"/>
              <w:numPr>
                <w:ilvl w:val="0"/>
                <w:numId w:val="5"/>
              </w:numPr>
              <w:ind w:left="690" w:hanging="330"/>
              <w:rPr>
                <w:color w:val="44546A"/>
              </w:rPr>
            </w:pPr>
            <w:r>
              <w:rPr>
                <w:color w:val="44546A"/>
              </w:rPr>
              <w:t>The importance of</w:t>
            </w:r>
            <w:r w:rsidRPr="00631DD8">
              <w:rPr>
                <w:color w:val="44546A"/>
              </w:rPr>
              <w:t xml:space="preserve"> </w:t>
            </w:r>
            <w:r w:rsidR="00210A49" w:rsidRPr="00631DD8">
              <w:rPr>
                <w:color w:val="44546A"/>
              </w:rPr>
              <w:t>assurance</w:t>
            </w:r>
          </w:p>
          <w:p w14:paraId="38E412C1" w14:textId="45F02697" w:rsidR="00ED5170" w:rsidRPr="001C35EB" w:rsidRDefault="00ED5170" w:rsidP="001C35EB">
            <w:pPr>
              <w:ind w:left="360"/>
              <w:rPr>
                <w:color w:val="44546A"/>
              </w:rPr>
            </w:pPr>
          </w:p>
        </w:tc>
      </w:tr>
      <w:tr w:rsidR="007A46F8" w:rsidRPr="00D313B1" w14:paraId="57B504DE" w14:textId="77777777" w:rsidTr="00290AC1">
        <w:trPr>
          <w:cantSplit/>
          <w:trHeight w:val="20"/>
        </w:trPr>
        <w:tc>
          <w:tcPr>
            <w:tcW w:w="2035" w:type="dxa"/>
            <w:tcBorders>
              <w:top w:val="single" w:sz="2" w:space="0" w:color="808080"/>
              <w:bottom w:val="single" w:sz="2" w:space="0" w:color="808080"/>
            </w:tcBorders>
          </w:tcPr>
          <w:p w14:paraId="239C9BFC" w14:textId="07DDD352" w:rsidR="00ED5170" w:rsidRPr="00D313B1" w:rsidRDefault="00ED5170" w:rsidP="004629D4">
            <w:pPr>
              <w:contextualSpacing/>
              <w:rPr>
                <w:color w:val="002060"/>
              </w:rPr>
            </w:pPr>
            <w:r>
              <w:rPr>
                <w:color w:val="002060"/>
              </w:rPr>
              <w:t>10:</w:t>
            </w:r>
            <w:r w:rsidR="00631DD8">
              <w:rPr>
                <w:color w:val="002060"/>
              </w:rPr>
              <w:t>4</w:t>
            </w:r>
            <w:r>
              <w:rPr>
                <w:color w:val="002060"/>
              </w:rPr>
              <w:t>0 – 11:</w:t>
            </w:r>
            <w:r w:rsidR="00806567">
              <w:rPr>
                <w:color w:val="002060"/>
              </w:rPr>
              <w:t>3</w:t>
            </w:r>
            <w:r>
              <w:rPr>
                <w:color w:val="002060"/>
              </w:rPr>
              <w:t>0</w:t>
            </w:r>
          </w:p>
        </w:tc>
        <w:tc>
          <w:tcPr>
            <w:tcW w:w="6991" w:type="dxa"/>
            <w:tcBorders>
              <w:top w:val="single" w:sz="2" w:space="0" w:color="808080"/>
              <w:bottom w:val="single" w:sz="2" w:space="0" w:color="808080"/>
            </w:tcBorders>
          </w:tcPr>
          <w:p w14:paraId="21AB37D2" w14:textId="3A9B6BFB" w:rsidR="00ED5170" w:rsidRDefault="00981A21" w:rsidP="00981A21">
            <w:pPr>
              <w:contextualSpacing/>
              <w:rPr>
                <w:b/>
                <w:bCs/>
                <w:color w:val="002060"/>
              </w:rPr>
            </w:pPr>
            <w:r>
              <w:rPr>
                <w:b/>
                <w:bCs/>
                <w:color w:val="002060"/>
              </w:rPr>
              <w:t>CIPFA Position Statement on Audit Committees</w:t>
            </w:r>
            <w:r w:rsidR="00B5774A">
              <w:rPr>
                <w:b/>
                <w:bCs/>
                <w:color w:val="002060"/>
              </w:rPr>
              <w:t xml:space="preserve"> 2022</w:t>
            </w:r>
          </w:p>
          <w:p w14:paraId="109FFB07" w14:textId="77777777" w:rsidR="00981A21" w:rsidRDefault="00981A21" w:rsidP="00981A21">
            <w:pPr>
              <w:contextualSpacing/>
              <w:rPr>
                <w:b/>
                <w:bCs/>
                <w:color w:val="002060"/>
              </w:rPr>
            </w:pPr>
          </w:p>
          <w:p w14:paraId="5B153592" w14:textId="5E51E1BA" w:rsidR="00B5774A" w:rsidRPr="00B5774A" w:rsidRDefault="00B5774A" w:rsidP="00981A21">
            <w:pPr>
              <w:contextualSpacing/>
              <w:rPr>
                <w:color w:val="002060"/>
              </w:rPr>
            </w:pPr>
            <w:r w:rsidRPr="00631DD8">
              <w:rPr>
                <w:color w:val="44546A"/>
              </w:rPr>
              <w:t>CIPFA</w:t>
            </w:r>
            <w:r>
              <w:rPr>
                <w:color w:val="44546A"/>
              </w:rPr>
              <w:t xml:space="preserve"> has updated its Position Statement outlining the key requirements of an audit committee in local government. This session will highlight the main changes and where audit committee members </w:t>
            </w:r>
            <w:r w:rsidR="009616FA">
              <w:rPr>
                <w:color w:val="44546A"/>
              </w:rPr>
              <w:t>need to focus.</w:t>
            </w:r>
          </w:p>
        </w:tc>
      </w:tr>
      <w:tr w:rsidR="0071736E" w:rsidRPr="00D313B1" w14:paraId="23B68754" w14:textId="77777777" w:rsidTr="00290AC1">
        <w:trPr>
          <w:cantSplit/>
          <w:trHeight w:val="20"/>
        </w:trPr>
        <w:tc>
          <w:tcPr>
            <w:tcW w:w="2035" w:type="dxa"/>
            <w:tcBorders>
              <w:top w:val="single" w:sz="2" w:space="0" w:color="808080"/>
              <w:bottom w:val="single" w:sz="2" w:space="0" w:color="808080"/>
            </w:tcBorders>
          </w:tcPr>
          <w:p w14:paraId="5688A8E4" w14:textId="7F617A4A" w:rsidR="00EE282F" w:rsidRPr="00D313B1" w:rsidRDefault="00ED5170" w:rsidP="00ED5170">
            <w:pPr>
              <w:contextualSpacing/>
              <w:rPr>
                <w:color w:val="002060"/>
              </w:rPr>
            </w:pPr>
            <w:bookmarkStart w:id="2" w:name="_Hlk42764764"/>
            <w:bookmarkStart w:id="3" w:name="_Hlk42769925"/>
            <w:r>
              <w:rPr>
                <w:color w:val="002060"/>
              </w:rPr>
              <w:t>11:</w:t>
            </w:r>
            <w:r w:rsidR="00806567">
              <w:rPr>
                <w:color w:val="002060"/>
              </w:rPr>
              <w:t>3</w:t>
            </w:r>
            <w:r>
              <w:rPr>
                <w:color w:val="002060"/>
              </w:rPr>
              <w:t>0</w:t>
            </w:r>
            <w:r w:rsidRPr="00D313B1">
              <w:rPr>
                <w:color w:val="002060"/>
              </w:rPr>
              <w:t xml:space="preserve"> – 1</w:t>
            </w:r>
            <w:r>
              <w:rPr>
                <w:color w:val="002060"/>
              </w:rPr>
              <w:t>1</w:t>
            </w:r>
            <w:r w:rsidR="005E340C">
              <w:rPr>
                <w:color w:val="002060"/>
              </w:rPr>
              <w:t>:</w:t>
            </w:r>
            <w:r w:rsidR="00806567">
              <w:rPr>
                <w:color w:val="002060"/>
              </w:rPr>
              <w:t>4</w:t>
            </w:r>
            <w:r w:rsidR="00406ED0">
              <w:rPr>
                <w:color w:val="002060"/>
              </w:rPr>
              <w:t>5</w:t>
            </w:r>
          </w:p>
        </w:tc>
        <w:tc>
          <w:tcPr>
            <w:tcW w:w="6991" w:type="dxa"/>
            <w:tcBorders>
              <w:top w:val="single" w:sz="2" w:space="0" w:color="808080"/>
              <w:bottom w:val="single" w:sz="2" w:space="0" w:color="808080"/>
            </w:tcBorders>
          </w:tcPr>
          <w:p w14:paraId="53C4106A" w14:textId="77777777" w:rsidR="00DE643F" w:rsidRPr="004E234A" w:rsidRDefault="00EE282F" w:rsidP="00ED5170">
            <w:pPr>
              <w:contextualSpacing/>
              <w:rPr>
                <w:b/>
                <w:bCs/>
                <w:color w:val="44546A"/>
              </w:rPr>
            </w:pPr>
            <w:r w:rsidRPr="00ED5170">
              <w:rPr>
                <w:b/>
                <w:bCs/>
                <w:color w:val="002060"/>
              </w:rPr>
              <w:t>Break</w:t>
            </w:r>
          </w:p>
        </w:tc>
      </w:tr>
      <w:bookmarkEnd w:id="2"/>
      <w:tr w:rsidR="00ED5170" w:rsidRPr="00D313B1" w14:paraId="0727BCAC" w14:textId="7BD7CD8A" w:rsidTr="00290AC1">
        <w:trPr>
          <w:cantSplit/>
          <w:trHeight w:val="20"/>
        </w:trPr>
        <w:tc>
          <w:tcPr>
            <w:tcW w:w="2035" w:type="dxa"/>
            <w:tcBorders>
              <w:top w:val="single" w:sz="2" w:space="0" w:color="808080"/>
              <w:bottom w:val="single" w:sz="2" w:space="0" w:color="808080"/>
            </w:tcBorders>
          </w:tcPr>
          <w:p w14:paraId="2C726CAC" w14:textId="78287222" w:rsidR="00ED5170" w:rsidRPr="00D313B1" w:rsidRDefault="00ED5170" w:rsidP="00ED5170">
            <w:pPr>
              <w:contextualSpacing/>
              <w:rPr>
                <w:color w:val="002060"/>
              </w:rPr>
            </w:pPr>
            <w:r w:rsidRPr="00D313B1">
              <w:rPr>
                <w:color w:val="002060"/>
              </w:rPr>
              <w:t>1</w:t>
            </w:r>
            <w:r>
              <w:rPr>
                <w:color w:val="002060"/>
              </w:rPr>
              <w:t>1</w:t>
            </w:r>
            <w:r w:rsidR="005E340C">
              <w:rPr>
                <w:color w:val="002060"/>
              </w:rPr>
              <w:t>:</w:t>
            </w:r>
            <w:r w:rsidR="00806567">
              <w:rPr>
                <w:color w:val="002060"/>
              </w:rPr>
              <w:t>4</w:t>
            </w:r>
            <w:r w:rsidR="00406ED0">
              <w:rPr>
                <w:color w:val="002060"/>
              </w:rPr>
              <w:t>5</w:t>
            </w:r>
            <w:r w:rsidRPr="00D313B1">
              <w:rPr>
                <w:color w:val="002060"/>
              </w:rPr>
              <w:t xml:space="preserve"> – </w:t>
            </w:r>
            <w:r>
              <w:rPr>
                <w:color w:val="002060"/>
              </w:rPr>
              <w:t>12:</w:t>
            </w:r>
            <w:r w:rsidR="008D575F">
              <w:rPr>
                <w:color w:val="002060"/>
              </w:rPr>
              <w:t>40</w:t>
            </w:r>
          </w:p>
        </w:tc>
        <w:tc>
          <w:tcPr>
            <w:tcW w:w="6991" w:type="dxa"/>
            <w:tcBorders>
              <w:top w:val="single" w:sz="2" w:space="0" w:color="808080"/>
              <w:bottom w:val="single" w:sz="2" w:space="0" w:color="808080"/>
            </w:tcBorders>
          </w:tcPr>
          <w:p w14:paraId="74BD97C9" w14:textId="6CDD40BB" w:rsidR="00981A21" w:rsidRPr="00ED5170" w:rsidRDefault="00981A21" w:rsidP="00981A21">
            <w:pPr>
              <w:contextualSpacing/>
              <w:rPr>
                <w:b/>
                <w:bCs/>
                <w:color w:val="002060"/>
              </w:rPr>
            </w:pPr>
            <w:r w:rsidRPr="00631DD8">
              <w:rPr>
                <w:b/>
                <w:bCs/>
                <w:color w:val="002060"/>
              </w:rPr>
              <w:t>Internal audit and the audit committee</w:t>
            </w:r>
          </w:p>
          <w:p w14:paraId="2874EC23" w14:textId="77777777" w:rsidR="00981A21" w:rsidRPr="004E234A" w:rsidRDefault="00981A21" w:rsidP="00981A21">
            <w:pPr>
              <w:contextualSpacing/>
              <w:rPr>
                <w:color w:val="44546A"/>
              </w:rPr>
            </w:pPr>
          </w:p>
          <w:p w14:paraId="2893C6C5" w14:textId="77777777" w:rsidR="00981A21" w:rsidRPr="00631DD8" w:rsidRDefault="00981A21" w:rsidP="00981A21">
            <w:pPr>
              <w:numPr>
                <w:ilvl w:val="0"/>
                <w:numId w:val="6"/>
              </w:numPr>
              <w:contextualSpacing/>
              <w:rPr>
                <w:color w:val="44546A"/>
                <w:lang w:val="en-US"/>
              </w:rPr>
            </w:pPr>
            <w:r w:rsidRPr="00631DD8">
              <w:rPr>
                <w:color w:val="44546A"/>
                <w:lang w:val="en-US"/>
              </w:rPr>
              <w:t xml:space="preserve">An overview of the professional standards for internal audit (the </w:t>
            </w:r>
            <w:r w:rsidRPr="00631DD8">
              <w:rPr>
                <w:i/>
                <w:color w:val="44546A"/>
                <w:lang w:val="en-US"/>
              </w:rPr>
              <w:t>Public Sector Internal Audit Standards</w:t>
            </w:r>
            <w:r w:rsidRPr="00631DD8">
              <w:rPr>
                <w:color w:val="44546A"/>
                <w:lang w:val="en-US"/>
              </w:rPr>
              <w:t xml:space="preserve">), with a </w:t>
            </w:r>
            <w:proofErr w:type="gramStart"/>
            <w:r w:rsidRPr="00631DD8">
              <w:rPr>
                <w:color w:val="44546A"/>
                <w:lang w:val="en-US"/>
              </w:rPr>
              <w:t>particular focus</w:t>
            </w:r>
            <w:proofErr w:type="gramEnd"/>
            <w:r w:rsidRPr="00631DD8">
              <w:rPr>
                <w:color w:val="44546A"/>
                <w:lang w:val="en-US"/>
              </w:rPr>
              <w:t xml:space="preserve"> on the role of the audit committee </w:t>
            </w:r>
          </w:p>
          <w:p w14:paraId="483D350E" w14:textId="77777777" w:rsidR="00981A21" w:rsidRPr="00631DD8" w:rsidRDefault="00981A21" w:rsidP="00981A21">
            <w:pPr>
              <w:numPr>
                <w:ilvl w:val="0"/>
                <w:numId w:val="6"/>
              </w:numPr>
              <w:contextualSpacing/>
              <w:rPr>
                <w:color w:val="44546A"/>
                <w:lang w:val="en-US"/>
              </w:rPr>
            </w:pPr>
            <w:r w:rsidRPr="00631DD8">
              <w:rPr>
                <w:color w:val="44546A"/>
                <w:lang w:val="en-US"/>
              </w:rPr>
              <w:t>Developing effective working relations with the head of internal audit</w:t>
            </w:r>
          </w:p>
          <w:p w14:paraId="6F292A7B" w14:textId="77777777" w:rsidR="00981A21" w:rsidRPr="00631DD8" w:rsidRDefault="00981A21" w:rsidP="00981A21">
            <w:pPr>
              <w:numPr>
                <w:ilvl w:val="0"/>
                <w:numId w:val="6"/>
              </w:numPr>
              <w:contextualSpacing/>
              <w:rPr>
                <w:color w:val="44546A"/>
                <w:lang w:val="en-US"/>
              </w:rPr>
            </w:pPr>
            <w:r w:rsidRPr="00631DD8">
              <w:rPr>
                <w:color w:val="44546A"/>
                <w:lang w:val="en-US"/>
              </w:rPr>
              <w:t>Getting the best out of internal audit</w:t>
            </w:r>
          </w:p>
          <w:p w14:paraId="0E5C54A3" w14:textId="3E729ADE" w:rsidR="00DE4A4D" w:rsidRPr="009616FA" w:rsidRDefault="00DE4A4D" w:rsidP="009616FA">
            <w:pPr>
              <w:rPr>
                <w:color w:val="44546A"/>
              </w:rPr>
            </w:pPr>
          </w:p>
        </w:tc>
      </w:tr>
      <w:tr w:rsidR="00ED5170" w:rsidRPr="00D313B1" w14:paraId="40CD6C9A" w14:textId="77777777" w:rsidTr="00290AC1">
        <w:trPr>
          <w:cantSplit/>
          <w:trHeight w:val="20"/>
        </w:trPr>
        <w:tc>
          <w:tcPr>
            <w:tcW w:w="2035" w:type="dxa"/>
            <w:tcBorders>
              <w:top w:val="single" w:sz="2" w:space="0" w:color="808080"/>
              <w:bottom w:val="single" w:sz="2" w:space="0" w:color="808080"/>
            </w:tcBorders>
          </w:tcPr>
          <w:p w14:paraId="0A671EF6" w14:textId="417613F4" w:rsidR="00ED5170" w:rsidRPr="00D313B1" w:rsidRDefault="00ED5170" w:rsidP="005E340C">
            <w:pPr>
              <w:contextualSpacing/>
              <w:rPr>
                <w:color w:val="002060"/>
              </w:rPr>
            </w:pPr>
            <w:r w:rsidRPr="00D313B1">
              <w:rPr>
                <w:color w:val="002060"/>
              </w:rPr>
              <w:t>1</w:t>
            </w:r>
            <w:r>
              <w:rPr>
                <w:color w:val="002060"/>
              </w:rPr>
              <w:t>2</w:t>
            </w:r>
            <w:r w:rsidR="005E340C">
              <w:rPr>
                <w:color w:val="002060"/>
              </w:rPr>
              <w:t>:</w:t>
            </w:r>
            <w:r w:rsidR="00290AC1">
              <w:rPr>
                <w:color w:val="002060"/>
              </w:rPr>
              <w:t>4</w:t>
            </w:r>
            <w:r>
              <w:rPr>
                <w:color w:val="002060"/>
              </w:rPr>
              <w:t>0</w:t>
            </w:r>
            <w:r w:rsidRPr="00D313B1">
              <w:rPr>
                <w:color w:val="002060"/>
              </w:rPr>
              <w:t xml:space="preserve"> </w:t>
            </w:r>
            <w:r w:rsidR="008D575F">
              <w:rPr>
                <w:color w:val="002060"/>
              </w:rPr>
              <w:t>– 13.40</w:t>
            </w:r>
          </w:p>
        </w:tc>
        <w:tc>
          <w:tcPr>
            <w:tcW w:w="6991" w:type="dxa"/>
            <w:tcBorders>
              <w:top w:val="single" w:sz="2" w:space="0" w:color="808080"/>
              <w:bottom w:val="single" w:sz="2" w:space="0" w:color="808080"/>
            </w:tcBorders>
          </w:tcPr>
          <w:p w14:paraId="311B7665" w14:textId="204793AD" w:rsidR="00ED5170" w:rsidRPr="00ED5170" w:rsidRDefault="00C82422" w:rsidP="00ED5170">
            <w:pPr>
              <w:contextualSpacing/>
              <w:rPr>
                <w:b/>
                <w:bCs/>
                <w:color w:val="002060"/>
              </w:rPr>
            </w:pPr>
            <w:r>
              <w:rPr>
                <w:b/>
                <w:bCs/>
                <w:color w:val="002060"/>
              </w:rPr>
              <w:t>Lunch</w:t>
            </w:r>
          </w:p>
          <w:p w14:paraId="78A3D91F" w14:textId="689ED6D0" w:rsidR="00ED5170" w:rsidRPr="004E234A" w:rsidRDefault="00ED5170" w:rsidP="00ED5170">
            <w:pPr>
              <w:contextualSpacing/>
              <w:rPr>
                <w:color w:val="44546A"/>
              </w:rPr>
            </w:pPr>
          </w:p>
        </w:tc>
      </w:tr>
    </w:tbl>
    <w:p w14:paraId="7DAEFCEA" w14:textId="77777777" w:rsidR="00290AC1" w:rsidRDefault="00290AC1"/>
    <w:tbl>
      <w:tblPr>
        <w:tblW w:w="5000" w:type="pct"/>
        <w:tblCellMar>
          <w:top w:w="113" w:type="dxa"/>
          <w:bottom w:w="113" w:type="dxa"/>
        </w:tblCellMar>
        <w:tblLook w:val="0000" w:firstRow="0" w:lastRow="0" w:firstColumn="0" w:lastColumn="0" w:noHBand="0" w:noVBand="0"/>
      </w:tblPr>
      <w:tblGrid>
        <w:gridCol w:w="2035"/>
        <w:gridCol w:w="6991"/>
      </w:tblGrid>
      <w:tr w:rsidR="007A46F8" w:rsidRPr="00ED5170" w14:paraId="11C73140" w14:textId="77777777" w:rsidTr="00290AC1">
        <w:trPr>
          <w:cantSplit/>
          <w:trHeight w:val="20"/>
        </w:trPr>
        <w:tc>
          <w:tcPr>
            <w:tcW w:w="2035" w:type="dxa"/>
            <w:tcBorders>
              <w:top w:val="single" w:sz="2" w:space="0" w:color="808080"/>
              <w:bottom w:val="single" w:sz="2" w:space="0" w:color="808080"/>
            </w:tcBorders>
          </w:tcPr>
          <w:bookmarkEnd w:id="1"/>
          <w:bookmarkEnd w:id="3"/>
          <w:p w14:paraId="528E7675" w14:textId="2ACA26CB" w:rsidR="004E234A" w:rsidRPr="00D313B1" w:rsidRDefault="004E234A" w:rsidP="004629D4">
            <w:pPr>
              <w:contextualSpacing/>
              <w:rPr>
                <w:color w:val="002060"/>
              </w:rPr>
            </w:pPr>
            <w:r>
              <w:rPr>
                <w:color w:val="002060"/>
              </w:rPr>
              <w:t>1</w:t>
            </w:r>
            <w:r w:rsidR="008D575F">
              <w:rPr>
                <w:color w:val="002060"/>
              </w:rPr>
              <w:t>3</w:t>
            </w:r>
            <w:r>
              <w:rPr>
                <w:color w:val="002060"/>
              </w:rPr>
              <w:t>:</w:t>
            </w:r>
            <w:r w:rsidR="008D575F">
              <w:rPr>
                <w:color w:val="002060"/>
              </w:rPr>
              <w:t>40</w:t>
            </w:r>
            <w:r>
              <w:rPr>
                <w:color w:val="002060"/>
              </w:rPr>
              <w:t xml:space="preserve"> – 1</w:t>
            </w:r>
            <w:r w:rsidR="007104DF">
              <w:rPr>
                <w:color w:val="002060"/>
              </w:rPr>
              <w:t>4</w:t>
            </w:r>
            <w:r>
              <w:rPr>
                <w:color w:val="002060"/>
              </w:rPr>
              <w:t>:</w:t>
            </w:r>
            <w:r w:rsidR="007104DF">
              <w:rPr>
                <w:color w:val="002060"/>
              </w:rPr>
              <w:t>2</w:t>
            </w:r>
            <w:r>
              <w:rPr>
                <w:color w:val="002060"/>
              </w:rPr>
              <w:t>0</w:t>
            </w:r>
          </w:p>
        </w:tc>
        <w:tc>
          <w:tcPr>
            <w:tcW w:w="6991" w:type="dxa"/>
            <w:tcBorders>
              <w:top w:val="single" w:sz="2" w:space="0" w:color="808080"/>
              <w:bottom w:val="single" w:sz="2" w:space="0" w:color="808080"/>
            </w:tcBorders>
          </w:tcPr>
          <w:p w14:paraId="72FFCFC1" w14:textId="7C5051F6" w:rsidR="00DE4A4D" w:rsidRPr="00ED5170" w:rsidRDefault="00DE4A4D" w:rsidP="00DE4A4D">
            <w:pPr>
              <w:contextualSpacing/>
              <w:rPr>
                <w:b/>
                <w:bCs/>
                <w:color w:val="002060"/>
              </w:rPr>
            </w:pPr>
            <w:r w:rsidRPr="00631DD8">
              <w:rPr>
                <w:b/>
                <w:bCs/>
                <w:color w:val="002060"/>
              </w:rPr>
              <w:t>Risk management and the audit committee</w:t>
            </w:r>
          </w:p>
          <w:p w14:paraId="5AD20996" w14:textId="77777777" w:rsidR="00DE4A4D" w:rsidRPr="004E234A" w:rsidRDefault="00DE4A4D" w:rsidP="00DE4A4D">
            <w:pPr>
              <w:contextualSpacing/>
              <w:rPr>
                <w:color w:val="44546A"/>
              </w:rPr>
            </w:pPr>
          </w:p>
          <w:p w14:paraId="46C69DAD" w14:textId="77777777" w:rsidR="00DE4A4D" w:rsidRPr="00631DD8" w:rsidRDefault="00DE4A4D" w:rsidP="00DE4A4D">
            <w:pPr>
              <w:pStyle w:val="ListParagraph"/>
              <w:numPr>
                <w:ilvl w:val="0"/>
                <w:numId w:val="7"/>
              </w:numPr>
              <w:ind w:left="705" w:hanging="345"/>
              <w:rPr>
                <w:color w:val="44546A"/>
              </w:rPr>
            </w:pPr>
            <w:r w:rsidRPr="00631DD8">
              <w:rPr>
                <w:color w:val="44546A"/>
              </w:rPr>
              <w:t>The audit committee</w:t>
            </w:r>
            <w:r>
              <w:rPr>
                <w:color w:val="44546A"/>
              </w:rPr>
              <w:t>’s</w:t>
            </w:r>
            <w:r w:rsidRPr="00631DD8">
              <w:rPr>
                <w:color w:val="44546A"/>
              </w:rPr>
              <w:t xml:space="preserve"> role in risk management</w:t>
            </w:r>
          </w:p>
          <w:p w14:paraId="4C9BDC0D" w14:textId="77777777" w:rsidR="00DE4A4D" w:rsidRPr="00631DD8" w:rsidRDefault="00DE4A4D" w:rsidP="00DE4A4D">
            <w:pPr>
              <w:pStyle w:val="ListParagraph"/>
              <w:numPr>
                <w:ilvl w:val="0"/>
                <w:numId w:val="7"/>
              </w:numPr>
              <w:ind w:left="705" w:hanging="345"/>
              <w:rPr>
                <w:color w:val="44546A"/>
              </w:rPr>
            </w:pPr>
            <w:r w:rsidRPr="00631DD8">
              <w:rPr>
                <w:color w:val="44546A"/>
              </w:rPr>
              <w:t>Strengths and weaknesses in an organisation’s approach to risk management – what the audit committee should look for</w:t>
            </w:r>
          </w:p>
          <w:p w14:paraId="200F9B58" w14:textId="6BDEDB3B" w:rsidR="004E234A" w:rsidRPr="00DE4A4D" w:rsidRDefault="00DE4A4D" w:rsidP="00DE4A4D">
            <w:pPr>
              <w:pStyle w:val="ListParagraph"/>
              <w:numPr>
                <w:ilvl w:val="0"/>
                <w:numId w:val="7"/>
              </w:numPr>
              <w:ind w:left="705" w:hanging="345"/>
              <w:rPr>
                <w:color w:val="44546A"/>
              </w:rPr>
            </w:pPr>
            <w:r w:rsidRPr="00631DD8">
              <w:rPr>
                <w:color w:val="44546A"/>
              </w:rPr>
              <w:t>Supporting better management of risk and understanding the organisation’s risk appetite. How the audit committee can help</w:t>
            </w:r>
          </w:p>
        </w:tc>
      </w:tr>
      <w:tr w:rsidR="007A46F8" w:rsidRPr="004E234A" w14:paraId="05AB4496" w14:textId="77777777" w:rsidTr="00290AC1">
        <w:trPr>
          <w:cantSplit/>
          <w:trHeight w:val="20"/>
        </w:trPr>
        <w:tc>
          <w:tcPr>
            <w:tcW w:w="2035" w:type="dxa"/>
            <w:tcBorders>
              <w:top w:val="single" w:sz="2" w:space="0" w:color="808080"/>
              <w:bottom w:val="single" w:sz="2" w:space="0" w:color="808080"/>
            </w:tcBorders>
          </w:tcPr>
          <w:p w14:paraId="21B91328" w14:textId="499866EA" w:rsidR="004E234A" w:rsidRPr="00D313B1" w:rsidRDefault="004E234A" w:rsidP="004629D4">
            <w:pPr>
              <w:contextualSpacing/>
              <w:rPr>
                <w:color w:val="002060"/>
              </w:rPr>
            </w:pPr>
            <w:r>
              <w:rPr>
                <w:color w:val="002060"/>
              </w:rPr>
              <w:t>1</w:t>
            </w:r>
            <w:r w:rsidR="007104DF">
              <w:rPr>
                <w:color w:val="002060"/>
              </w:rPr>
              <w:t>4</w:t>
            </w:r>
            <w:r>
              <w:rPr>
                <w:color w:val="002060"/>
              </w:rPr>
              <w:t>:</w:t>
            </w:r>
            <w:r w:rsidR="007104DF">
              <w:rPr>
                <w:color w:val="002060"/>
              </w:rPr>
              <w:t>2</w:t>
            </w:r>
            <w:r>
              <w:rPr>
                <w:color w:val="002060"/>
              </w:rPr>
              <w:t>0</w:t>
            </w:r>
            <w:r w:rsidRPr="00D313B1">
              <w:rPr>
                <w:color w:val="002060"/>
              </w:rPr>
              <w:t xml:space="preserve"> – 1</w:t>
            </w:r>
            <w:r w:rsidR="00AF60FB">
              <w:rPr>
                <w:color w:val="002060"/>
              </w:rPr>
              <w:t>4</w:t>
            </w:r>
            <w:r w:rsidR="005E340C">
              <w:rPr>
                <w:color w:val="002060"/>
              </w:rPr>
              <w:t>:</w:t>
            </w:r>
            <w:r w:rsidR="00AF60FB">
              <w:rPr>
                <w:color w:val="002060"/>
              </w:rPr>
              <w:t>30</w:t>
            </w:r>
          </w:p>
        </w:tc>
        <w:tc>
          <w:tcPr>
            <w:tcW w:w="6991" w:type="dxa"/>
            <w:tcBorders>
              <w:top w:val="single" w:sz="2" w:space="0" w:color="808080"/>
              <w:bottom w:val="single" w:sz="2" w:space="0" w:color="808080"/>
            </w:tcBorders>
          </w:tcPr>
          <w:p w14:paraId="5420B421" w14:textId="77777777" w:rsidR="004E234A" w:rsidRPr="004E234A" w:rsidRDefault="004E234A" w:rsidP="004629D4">
            <w:pPr>
              <w:contextualSpacing/>
              <w:rPr>
                <w:b/>
                <w:bCs/>
                <w:color w:val="002060"/>
              </w:rPr>
            </w:pPr>
            <w:r w:rsidRPr="00ED5170">
              <w:rPr>
                <w:b/>
                <w:bCs/>
                <w:color w:val="002060"/>
              </w:rPr>
              <w:t>Break</w:t>
            </w:r>
          </w:p>
        </w:tc>
      </w:tr>
      <w:tr w:rsidR="007108F3" w:rsidRPr="004E234A" w14:paraId="32DE9E95" w14:textId="77777777" w:rsidTr="00290AC1">
        <w:trPr>
          <w:cantSplit/>
          <w:trHeight w:val="20"/>
        </w:trPr>
        <w:tc>
          <w:tcPr>
            <w:tcW w:w="2035" w:type="dxa"/>
            <w:tcBorders>
              <w:top w:val="single" w:sz="2" w:space="0" w:color="808080"/>
              <w:bottom w:val="single" w:sz="2" w:space="0" w:color="808080"/>
            </w:tcBorders>
          </w:tcPr>
          <w:p w14:paraId="3684FC10" w14:textId="73E4D4DF" w:rsidR="007108F3" w:rsidRPr="00D313B1" w:rsidRDefault="00DE4A4D" w:rsidP="005E340C">
            <w:pPr>
              <w:contextualSpacing/>
              <w:rPr>
                <w:color w:val="002060"/>
              </w:rPr>
            </w:pPr>
            <w:r>
              <w:rPr>
                <w:color w:val="002060"/>
              </w:rPr>
              <w:lastRenderedPageBreak/>
              <w:t>1</w:t>
            </w:r>
            <w:r w:rsidR="00AF60FB">
              <w:rPr>
                <w:color w:val="002060"/>
              </w:rPr>
              <w:t>4</w:t>
            </w:r>
            <w:r>
              <w:rPr>
                <w:color w:val="002060"/>
              </w:rPr>
              <w:t>:</w:t>
            </w:r>
            <w:r w:rsidR="00AF60FB">
              <w:rPr>
                <w:color w:val="002060"/>
              </w:rPr>
              <w:t>30</w:t>
            </w:r>
            <w:r>
              <w:rPr>
                <w:color w:val="002060"/>
              </w:rPr>
              <w:t xml:space="preserve"> – 1</w:t>
            </w:r>
            <w:r w:rsidR="00FA6CA3">
              <w:rPr>
                <w:color w:val="002060"/>
              </w:rPr>
              <w:t>5</w:t>
            </w:r>
            <w:r>
              <w:rPr>
                <w:color w:val="002060"/>
              </w:rPr>
              <w:t>:</w:t>
            </w:r>
            <w:r w:rsidR="0012124D">
              <w:rPr>
                <w:color w:val="002060"/>
              </w:rPr>
              <w:t>0</w:t>
            </w:r>
            <w:r w:rsidR="00FA6CA3">
              <w:rPr>
                <w:color w:val="002060"/>
              </w:rPr>
              <w:t>0</w:t>
            </w:r>
          </w:p>
        </w:tc>
        <w:tc>
          <w:tcPr>
            <w:tcW w:w="6991" w:type="dxa"/>
            <w:tcBorders>
              <w:top w:val="single" w:sz="2" w:space="0" w:color="808080"/>
              <w:bottom w:val="single" w:sz="2" w:space="0" w:color="808080"/>
            </w:tcBorders>
          </w:tcPr>
          <w:p w14:paraId="6FED92E7" w14:textId="6399414E" w:rsidR="007108F3" w:rsidRDefault="007108F3" w:rsidP="007108F3">
            <w:pPr>
              <w:contextualSpacing/>
              <w:rPr>
                <w:b/>
                <w:bCs/>
                <w:color w:val="002060"/>
              </w:rPr>
            </w:pPr>
            <w:r>
              <w:rPr>
                <w:b/>
                <w:bCs/>
                <w:color w:val="002060"/>
              </w:rPr>
              <w:t>Planning assurance</w:t>
            </w:r>
          </w:p>
          <w:p w14:paraId="518C65DB" w14:textId="77777777" w:rsidR="00F1632F" w:rsidRPr="00ED5170" w:rsidRDefault="00F1632F" w:rsidP="007108F3">
            <w:pPr>
              <w:contextualSpacing/>
              <w:rPr>
                <w:b/>
                <w:bCs/>
                <w:color w:val="002060"/>
              </w:rPr>
            </w:pPr>
          </w:p>
          <w:p w14:paraId="1F3A8AF4" w14:textId="77777777" w:rsidR="007108F3" w:rsidRPr="00334B44" w:rsidRDefault="00F1632F" w:rsidP="00F1632F">
            <w:pPr>
              <w:pStyle w:val="ListParagraph"/>
              <w:numPr>
                <w:ilvl w:val="0"/>
                <w:numId w:val="9"/>
              </w:numPr>
              <w:rPr>
                <w:color w:val="44546A"/>
              </w:rPr>
            </w:pPr>
            <w:r w:rsidRPr="00334B44">
              <w:rPr>
                <w:color w:val="44546A"/>
              </w:rPr>
              <w:t>Different sources and types of assurance</w:t>
            </w:r>
          </w:p>
          <w:p w14:paraId="2D13D0C6" w14:textId="77777777" w:rsidR="00F1632F" w:rsidRPr="00334B44" w:rsidRDefault="00F1632F" w:rsidP="00F1632F">
            <w:pPr>
              <w:pStyle w:val="ListParagraph"/>
              <w:numPr>
                <w:ilvl w:val="0"/>
                <w:numId w:val="9"/>
              </w:numPr>
              <w:rPr>
                <w:color w:val="44546A"/>
              </w:rPr>
            </w:pPr>
            <w:r w:rsidRPr="00334B44">
              <w:rPr>
                <w:color w:val="44546A"/>
              </w:rPr>
              <w:t>How to assess the value of assurance</w:t>
            </w:r>
          </w:p>
          <w:p w14:paraId="26C6C775" w14:textId="4AC4F286" w:rsidR="00F1632F" w:rsidRPr="00DE4A4D" w:rsidRDefault="00F1632F" w:rsidP="00DE4A4D">
            <w:pPr>
              <w:pStyle w:val="ListParagraph"/>
              <w:numPr>
                <w:ilvl w:val="0"/>
                <w:numId w:val="9"/>
              </w:numPr>
              <w:rPr>
                <w:color w:val="002060"/>
              </w:rPr>
            </w:pPr>
            <w:r w:rsidRPr="00334B44">
              <w:rPr>
                <w:color w:val="44546A"/>
              </w:rPr>
              <w:t>Assurance planning, in</w:t>
            </w:r>
            <w:r w:rsidR="00261FB8">
              <w:rPr>
                <w:color w:val="44546A"/>
              </w:rPr>
              <w:t>cluding the three lines model</w:t>
            </w:r>
          </w:p>
        </w:tc>
      </w:tr>
      <w:tr w:rsidR="007A46F8" w:rsidRPr="004E234A" w14:paraId="00B5515C" w14:textId="77777777" w:rsidTr="00290AC1">
        <w:trPr>
          <w:cantSplit/>
          <w:trHeight w:val="20"/>
        </w:trPr>
        <w:tc>
          <w:tcPr>
            <w:tcW w:w="2035" w:type="dxa"/>
            <w:tcBorders>
              <w:top w:val="single" w:sz="2" w:space="0" w:color="808080"/>
              <w:bottom w:val="single" w:sz="2" w:space="0" w:color="808080"/>
            </w:tcBorders>
          </w:tcPr>
          <w:p w14:paraId="1672E5DE" w14:textId="760310C4" w:rsidR="004E234A" w:rsidRPr="00D313B1" w:rsidRDefault="004E234A" w:rsidP="005E340C">
            <w:pPr>
              <w:contextualSpacing/>
              <w:rPr>
                <w:color w:val="002060"/>
              </w:rPr>
            </w:pPr>
            <w:r w:rsidRPr="00D313B1">
              <w:rPr>
                <w:color w:val="002060"/>
              </w:rPr>
              <w:t>1</w:t>
            </w:r>
            <w:r w:rsidR="00FA6CA3">
              <w:rPr>
                <w:color w:val="002060"/>
              </w:rPr>
              <w:t>5</w:t>
            </w:r>
            <w:r w:rsidR="005E340C">
              <w:rPr>
                <w:color w:val="002060"/>
              </w:rPr>
              <w:t>:</w:t>
            </w:r>
            <w:r w:rsidR="0012124D">
              <w:rPr>
                <w:color w:val="002060"/>
              </w:rPr>
              <w:t>0</w:t>
            </w:r>
            <w:r w:rsidR="00FA6CA3">
              <w:rPr>
                <w:color w:val="002060"/>
              </w:rPr>
              <w:t>0</w:t>
            </w:r>
            <w:r w:rsidRPr="00D313B1">
              <w:rPr>
                <w:color w:val="002060"/>
              </w:rPr>
              <w:t xml:space="preserve"> – </w:t>
            </w:r>
            <w:r>
              <w:rPr>
                <w:color w:val="002060"/>
              </w:rPr>
              <w:t>1</w:t>
            </w:r>
            <w:r w:rsidR="00FA6CA3">
              <w:rPr>
                <w:color w:val="002060"/>
              </w:rPr>
              <w:t>5</w:t>
            </w:r>
            <w:r>
              <w:rPr>
                <w:color w:val="002060"/>
              </w:rPr>
              <w:t>:</w:t>
            </w:r>
            <w:r w:rsidR="0012124D">
              <w:rPr>
                <w:color w:val="002060"/>
              </w:rPr>
              <w:t>4</w:t>
            </w:r>
            <w:r w:rsidR="00290AC1">
              <w:rPr>
                <w:color w:val="002060"/>
              </w:rPr>
              <w:t>5</w:t>
            </w:r>
          </w:p>
        </w:tc>
        <w:tc>
          <w:tcPr>
            <w:tcW w:w="6991" w:type="dxa"/>
            <w:tcBorders>
              <w:top w:val="single" w:sz="2" w:space="0" w:color="808080"/>
              <w:bottom w:val="single" w:sz="2" w:space="0" w:color="808080"/>
            </w:tcBorders>
          </w:tcPr>
          <w:p w14:paraId="50E9320A" w14:textId="137B6F49" w:rsidR="004E234A" w:rsidRPr="00ED5170" w:rsidRDefault="00515CDC" w:rsidP="004629D4">
            <w:pPr>
              <w:contextualSpacing/>
              <w:rPr>
                <w:b/>
                <w:bCs/>
                <w:color w:val="002060"/>
              </w:rPr>
            </w:pPr>
            <w:r w:rsidRPr="00515CDC">
              <w:rPr>
                <w:b/>
                <w:bCs/>
                <w:color w:val="002060"/>
              </w:rPr>
              <w:t>Developing your skills and improving effectiveness</w:t>
            </w:r>
          </w:p>
          <w:p w14:paraId="1D3192E9" w14:textId="77777777" w:rsidR="004E234A" w:rsidRPr="004E234A" w:rsidRDefault="004E234A" w:rsidP="004629D4">
            <w:pPr>
              <w:contextualSpacing/>
              <w:rPr>
                <w:b/>
                <w:bCs/>
                <w:color w:val="44546A"/>
              </w:rPr>
            </w:pPr>
          </w:p>
          <w:p w14:paraId="017746D1" w14:textId="0F27E75E" w:rsidR="00515CDC" w:rsidRPr="00515CDC" w:rsidRDefault="00515CDC" w:rsidP="00515CDC">
            <w:pPr>
              <w:pStyle w:val="ListParagraph"/>
              <w:numPr>
                <w:ilvl w:val="0"/>
                <w:numId w:val="8"/>
              </w:numPr>
              <w:ind w:left="690" w:hanging="330"/>
              <w:rPr>
                <w:color w:val="44546A"/>
              </w:rPr>
            </w:pPr>
            <w:r w:rsidRPr="00515CDC">
              <w:rPr>
                <w:color w:val="44546A"/>
              </w:rPr>
              <w:t xml:space="preserve">This session will </w:t>
            </w:r>
            <w:r w:rsidR="007108F3">
              <w:rPr>
                <w:color w:val="44546A"/>
              </w:rPr>
              <w:t>consider any problems that can disrupt the effective working of an audit committee, highlighted either during the webinar or in advance, and give practical hints and tips to address them</w:t>
            </w:r>
            <w:r w:rsidRPr="00515CDC">
              <w:rPr>
                <w:color w:val="44546A"/>
              </w:rPr>
              <w:t>.</w:t>
            </w:r>
          </w:p>
          <w:p w14:paraId="57E472BA" w14:textId="77777777" w:rsidR="00515CDC" w:rsidRPr="00515CDC" w:rsidRDefault="00515CDC" w:rsidP="00515CDC">
            <w:pPr>
              <w:ind w:left="690" w:hanging="330"/>
              <w:contextualSpacing/>
              <w:rPr>
                <w:color w:val="44546A"/>
              </w:rPr>
            </w:pPr>
          </w:p>
          <w:p w14:paraId="11DDAFFE" w14:textId="1F53CC03" w:rsidR="004E234A" w:rsidRPr="00515CDC" w:rsidRDefault="00515CDC" w:rsidP="00515CDC">
            <w:pPr>
              <w:pStyle w:val="ListParagraph"/>
              <w:numPr>
                <w:ilvl w:val="0"/>
                <w:numId w:val="8"/>
              </w:numPr>
              <w:ind w:left="690" w:hanging="330"/>
              <w:rPr>
                <w:b/>
                <w:bCs/>
                <w:color w:val="002060"/>
              </w:rPr>
            </w:pPr>
            <w:r w:rsidRPr="00515CDC">
              <w:rPr>
                <w:color w:val="44546A"/>
              </w:rPr>
              <w:t>The factors that contribute to the effectiveness of the committee and the importance of regular review and evaluation</w:t>
            </w:r>
            <w:r w:rsidR="007108F3">
              <w:rPr>
                <w:color w:val="44546A"/>
              </w:rPr>
              <w:t>, including some tools to do this</w:t>
            </w:r>
          </w:p>
        </w:tc>
      </w:tr>
      <w:tr w:rsidR="007A46F8" w:rsidRPr="004E234A" w14:paraId="72C4BCC2" w14:textId="77777777" w:rsidTr="00290AC1">
        <w:trPr>
          <w:cantSplit/>
          <w:trHeight w:val="20"/>
        </w:trPr>
        <w:tc>
          <w:tcPr>
            <w:tcW w:w="2035" w:type="dxa"/>
            <w:tcBorders>
              <w:top w:val="single" w:sz="2" w:space="0" w:color="808080"/>
              <w:bottom w:val="single" w:sz="2" w:space="0" w:color="808080"/>
            </w:tcBorders>
          </w:tcPr>
          <w:p w14:paraId="46FEDEBC" w14:textId="0BB847E1" w:rsidR="004E234A" w:rsidRPr="00D313B1" w:rsidRDefault="004E234A" w:rsidP="004629D4">
            <w:pPr>
              <w:contextualSpacing/>
              <w:rPr>
                <w:color w:val="002060"/>
              </w:rPr>
            </w:pPr>
            <w:r>
              <w:rPr>
                <w:color w:val="002060"/>
              </w:rPr>
              <w:t>1</w:t>
            </w:r>
            <w:r w:rsidR="0012124D">
              <w:rPr>
                <w:color w:val="002060"/>
              </w:rPr>
              <w:t>5</w:t>
            </w:r>
            <w:r>
              <w:rPr>
                <w:color w:val="002060"/>
              </w:rPr>
              <w:t>:</w:t>
            </w:r>
            <w:r w:rsidR="0012124D">
              <w:rPr>
                <w:color w:val="002060"/>
              </w:rPr>
              <w:t>4</w:t>
            </w:r>
            <w:r w:rsidR="00515CDC">
              <w:rPr>
                <w:color w:val="002060"/>
              </w:rPr>
              <w:t>5</w:t>
            </w:r>
            <w:r w:rsidRPr="00D313B1">
              <w:rPr>
                <w:color w:val="002060"/>
              </w:rPr>
              <w:t xml:space="preserve"> – </w:t>
            </w:r>
            <w:r>
              <w:rPr>
                <w:color w:val="002060"/>
              </w:rPr>
              <w:t>1</w:t>
            </w:r>
            <w:r w:rsidR="0012124D">
              <w:rPr>
                <w:color w:val="002060"/>
              </w:rPr>
              <w:t>6</w:t>
            </w:r>
            <w:r>
              <w:rPr>
                <w:color w:val="002060"/>
              </w:rPr>
              <w:t>:</w:t>
            </w:r>
            <w:r w:rsidR="0012124D">
              <w:rPr>
                <w:color w:val="002060"/>
              </w:rPr>
              <w:t>00</w:t>
            </w:r>
          </w:p>
        </w:tc>
        <w:tc>
          <w:tcPr>
            <w:tcW w:w="6991" w:type="dxa"/>
            <w:tcBorders>
              <w:top w:val="single" w:sz="2" w:space="0" w:color="808080"/>
              <w:bottom w:val="single" w:sz="2" w:space="0" w:color="808080"/>
            </w:tcBorders>
          </w:tcPr>
          <w:p w14:paraId="46B32C27" w14:textId="1929AC27" w:rsidR="00515CDC" w:rsidRPr="00ED5170" w:rsidRDefault="00515CDC" w:rsidP="00515CDC">
            <w:pPr>
              <w:contextualSpacing/>
              <w:rPr>
                <w:b/>
                <w:bCs/>
                <w:color w:val="002060"/>
              </w:rPr>
            </w:pPr>
            <w:r>
              <w:rPr>
                <w:b/>
                <w:bCs/>
                <w:color w:val="002060"/>
              </w:rPr>
              <w:t xml:space="preserve">Summary </w:t>
            </w:r>
            <w:r w:rsidR="00A33A43">
              <w:rPr>
                <w:b/>
                <w:bCs/>
                <w:color w:val="002060"/>
              </w:rPr>
              <w:t>and discussions</w:t>
            </w:r>
          </w:p>
          <w:p w14:paraId="06C29B19" w14:textId="26708BE2" w:rsidR="004E234A" w:rsidRPr="004E234A" w:rsidRDefault="004E234A" w:rsidP="004629D4">
            <w:pPr>
              <w:contextualSpacing/>
              <w:rPr>
                <w:b/>
                <w:bCs/>
                <w:color w:val="002060"/>
              </w:rPr>
            </w:pPr>
          </w:p>
        </w:tc>
      </w:tr>
      <w:tr w:rsidR="007A46F8" w:rsidRPr="004E234A" w14:paraId="6899DCFF" w14:textId="77777777" w:rsidTr="00290AC1">
        <w:trPr>
          <w:cantSplit/>
          <w:trHeight w:val="20"/>
        </w:trPr>
        <w:tc>
          <w:tcPr>
            <w:tcW w:w="2035" w:type="dxa"/>
            <w:tcBorders>
              <w:top w:val="single" w:sz="2" w:space="0" w:color="808080"/>
              <w:bottom w:val="single" w:sz="2" w:space="0" w:color="808080"/>
            </w:tcBorders>
          </w:tcPr>
          <w:p w14:paraId="008A64E7" w14:textId="7A6CFEB1" w:rsidR="004E234A" w:rsidRPr="00D313B1" w:rsidRDefault="004E234A" w:rsidP="004629D4">
            <w:pPr>
              <w:contextualSpacing/>
              <w:rPr>
                <w:color w:val="002060"/>
              </w:rPr>
            </w:pPr>
            <w:r w:rsidRPr="00D313B1">
              <w:rPr>
                <w:color w:val="002060"/>
              </w:rPr>
              <w:t>1</w:t>
            </w:r>
            <w:r w:rsidR="0012124D">
              <w:rPr>
                <w:color w:val="002060"/>
              </w:rPr>
              <w:t>6</w:t>
            </w:r>
            <w:r w:rsidR="005E340C">
              <w:rPr>
                <w:color w:val="002060"/>
              </w:rPr>
              <w:t>:</w:t>
            </w:r>
            <w:r w:rsidR="0012124D">
              <w:rPr>
                <w:color w:val="002060"/>
              </w:rPr>
              <w:t>0</w:t>
            </w:r>
            <w:r>
              <w:rPr>
                <w:color w:val="002060"/>
              </w:rPr>
              <w:t>0</w:t>
            </w:r>
            <w:r w:rsidRPr="00D313B1">
              <w:rPr>
                <w:color w:val="002060"/>
              </w:rPr>
              <w:t xml:space="preserve"> </w:t>
            </w:r>
          </w:p>
        </w:tc>
        <w:tc>
          <w:tcPr>
            <w:tcW w:w="6991" w:type="dxa"/>
            <w:tcBorders>
              <w:top w:val="single" w:sz="2" w:space="0" w:color="808080"/>
              <w:bottom w:val="single" w:sz="2" w:space="0" w:color="808080"/>
            </w:tcBorders>
          </w:tcPr>
          <w:p w14:paraId="584DA04C" w14:textId="0AD84A9D" w:rsidR="004E234A" w:rsidRPr="00ED5170" w:rsidRDefault="00515CDC" w:rsidP="004629D4">
            <w:pPr>
              <w:contextualSpacing/>
              <w:rPr>
                <w:b/>
                <w:bCs/>
                <w:color w:val="002060"/>
              </w:rPr>
            </w:pPr>
            <w:r w:rsidRPr="00515CDC">
              <w:rPr>
                <w:b/>
                <w:bCs/>
                <w:color w:val="002060"/>
              </w:rPr>
              <w:t>Close</w:t>
            </w:r>
          </w:p>
          <w:p w14:paraId="128DE514" w14:textId="5C795557" w:rsidR="004E234A" w:rsidRPr="004E234A" w:rsidRDefault="004E234A" w:rsidP="004629D4">
            <w:pPr>
              <w:contextualSpacing/>
              <w:rPr>
                <w:b/>
                <w:bCs/>
                <w:color w:val="002060"/>
              </w:rPr>
            </w:pPr>
          </w:p>
        </w:tc>
      </w:tr>
      <w:tr w:rsidR="002832D2" w:rsidRPr="004E234A" w14:paraId="0FE0EC24" w14:textId="77777777" w:rsidTr="00290AC1">
        <w:trPr>
          <w:cantSplit/>
          <w:trHeight w:val="20"/>
        </w:trPr>
        <w:tc>
          <w:tcPr>
            <w:tcW w:w="2035" w:type="dxa"/>
            <w:tcBorders>
              <w:top w:val="single" w:sz="2" w:space="0" w:color="808080"/>
              <w:bottom w:val="single" w:sz="2" w:space="0" w:color="808080"/>
            </w:tcBorders>
          </w:tcPr>
          <w:p w14:paraId="71C00D55" w14:textId="77777777" w:rsidR="002832D2" w:rsidRPr="00D313B1" w:rsidRDefault="002832D2" w:rsidP="004629D4">
            <w:pPr>
              <w:contextualSpacing/>
              <w:rPr>
                <w:color w:val="002060"/>
              </w:rPr>
            </w:pPr>
          </w:p>
        </w:tc>
        <w:tc>
          <w:tcPr>
            <w:tcW w:w="6991" w:type="dxa"/>
            <w:tcBorders>
              <w:top w:val="single" w:sz="2" w:space="0" w:color="808080"/>
              <w:bottom w:val="single" w:sz="2" w:space="0" w:color="808080"/>
            </w:tcBorders>
          </w:tcPr>
          <w:p w14:paraId="6FCC68E4" w14:textId="77777777" w:rsidR="002832D2" w:rsidRDefault="002832D2" w:rsidP="004629D4">
            <w:pPr>
              <w:contextualSpacing/>
              <w:rPr>
                <w:b/>
                <w:bCs/>
                <w:color w:val="002060"/>
              </w:rPr>
            </w:pPr>
          </w:p>
        </w:tc>
      </w:tr>
      <w:tr w:rsidR="00ED5170" w:rsidRPr="00D313B1" w14:paraId="5FD63070" w14:textId="77777777" w:rsidTr="00290AC1">
        <w:trPr>
          <w:cantSplit/>
          <w:trHeight w:val="20"/>
        </w:trPr>
        <w:tc>
          <w:tcPr>
            <w:tcW w:w="9026" w:type="dxa"/>
            <w:gridSpan w:val="2"/>
            <w:tcBorders>
              <w:top w:val="single" w:sz="2" w:space="0" w:color="808080"/>
              <w:left w:val="single" w:sz="2" w:space="0" w:color="808080"/>
              <w:bottom w:val="single" w:sz="2" w:space="0" w:color="808080"/>
              <w:right w:val="single" w:sz="2" w:space="0" w:color="808080"/>
            </w:tcBorders>
          </w:tcPr>
          <w:p w14:paraId="208052AC" w14:textId="2F4452C0" w:rsidR="001C35EB" w:rsidRDefault="001C35EB" w:rsidP="001C35EB">
            <w:pPr>
              <w:contextualSpacing/>
              <w:rPr>
                <w:color w:val="44546A"/>
              </w:rPr>
            </w:pPr>
            <w:r>
              <w:rPr>
                <w:color w:val="44546A"/>
              </w:rPr>
              <w:t>The facilitator</w:t>
            </w:r>
            <w:r w:rsidRPr="005C13F5">
              <w:rPr>
                <w:color w:val="44546A"/>
              </w:rPr>
              <w:t xml:space="preserve"> for the event will be </w:t>
            </w:r>
            <w:r w:rsidR="00E9463A">
              <w:rPr>
                <w:color w:val="44546A"/>
              </w:rPr>
              <w:t>tbc</w:t>
            </w:r>
          </w:p>
          <w:p w14:paraId="75F04767" w14:textId="77777777" w:rsidR="001C35EB" w:rsidRDefault="001C35EB" w:rsidP="001C35EB">
            <w:pPr>
              <w:contextualSpacing/>
              <w:rPr>
                <w:color w:val="44546A"/>
              </w:rPr>
            </w:pPr>
          </w:p>
          <w:p w14:paraId="42CFD78D" w14:textId="77777777" w:rsidR="00ED5170" w:rsidRPr="004E234A" w:rsidRDefault="00ED5170" w:rsidP="00ED5170">
            <w:pPr>
              <w:contextualSpacing/>
              <w:rPr>
                <w:color w:val="44546A"/>
              </w:rPr>
            </w:pPr>
          </w:p>
          <w:p w14:paraId="51E1D1FE" w14:textId="77777777" w:rsidR="00ED5170" w:rsidRPr="004E234A" w:rsidRDefault="00ED5170" w:rsidP="00ED5170">
            <w:pPr>
              <w:contextualSpacing/>
              <w:rPr>
                <w:color w:val="44546A"/>
              </w:rPr>
            </w:pPr>
          </w:p>
          <w:p w14:paraId="7C679F62" w14:textId="77777777" w:rsidR="00ED5170" w:rsidRPr="004E234A" w:rsidRDefault="00ED5170" w:rsidP="00ED5170">
            <w:pPr>
              <w:contextualSpacing/>
              <w:rPr>
                <w:color w:val="44546A"/>
              </w:rPr>
            </w:pPr>
          </w:p>
          <w:p w14:paraId="2E5A78BA" w14:textId="77777777" w:rsidR="00ED5170" w:rsidRPr="004E234A" w:rsidRDefault="006779C4" w:rsidP="00ED5170">
            <w:pPr>
              <w:contextualSpacing/>
              <w:rPr>
                <w:color w:val="44546A"/>
              </w:rPr>
            </w:pPr>
            <w:r w:rsidRPr="004E234A">
              <w:rPr>
                <w:noProof/>
                <w:color w:val="44546A"/>
                <w:lang w:eastAsia="en-GB"/>
              </w:rPr>
              <w:drawing>
                <wp:inline distT="0" distB="0" distL="0" distR="0" wp14:anchorId="1EED5283" wp14:editId="11832357">
                  <wp:extent cx="3238500" cy="6477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647700"/>
                          </a:xfrm>
                          <a:prstGeom prst="rect">
                            <a:avLst/>
                          </a:prstGeom>
                          <a:noFill/>
                          <a:ln>
                            <a:noFill/>
                          </a:ln>
                        </pic:spPr>
                      </pic:pic>
                    </a:graphicData>
                  </a:graphic>
                </wp:inline>
              </w:drawing>
            </w:r>
          </w:p>
        </w:tc>
      </w:tr>
      <w:tr w:rsidR="0095777E" w:rsidRPr="00D313B1" w14:paraId="09297075" w14:textId="77777777" w:rsidTr="00290AC1">
        <w:trPr>
          <w:cantSplit/>
          <w:trHeight w:val="20"/>
        </w:trPr>
        <w:tc>
          <w:tcPr>
            <w:tcW w:w="9026" w:type="dxa"/>
            <w:gridSpan w:val="2"/>
            <w:tcBorders>
              <w:top w:val="single" w:sz="2" w:space="0" w:color="808080"/>
              <w:left w:val="single" w:sz="2" w:space="0" w:color="808080"/>
              <w:bottom w:val="single" w:sz="2" w:space="0" w:color="808080"/>
              <w:right w:val="single" w:sz="2" w:space="0" w:color="808080"/>
            </w:tcBorders>
          </w:tcPr>
          <w:p w14:paraId="370D33B8" w14:textId="77777777" w:rsidR="0095777E" w:rsidRDefault="0095777E" w:rsidP="0095777E">
            <w:pPr>
              <w:pStyle w:val="Default"/>
              <w:rPr>
                <w:rFonts w:cs="Times New Roman"/>
                <w:b/>
                <w:bCs/>
                <w:color w:val="002060"/>
                <w:sz w:val="20"/>
                <w:lang w:eastAsia="en-US"/>
              </w:rPr>
            </w:pPr>
            <w:r>
              <w:rPr>
                <w:rFonts w:cs="Times New Roman"/>
                <w:b/>
                <w:bCs/>
                <w:color w:val="002060"/>
                <w:sz w:val="20"/>
                <w:lang w:eastAsia="en-US"/>
              </w:rPr>
              <w:t xml:space="preserve">CIPFA Sustainability Policy </w:t>
            </w:r>
          </w:p>
          <w:p w14:paraId="1085FD6D" w14:textId="77777777" w:rsidR="0095777E" w:rsidRDefault="0095777E" w:rsidP="0095777E">
            <w:pPr>
              <w:rPr>
                <w:color w:val="44546A"/>
              </w:rPr>
            </w:pPr>
          </w:p>
          <w:p w14:paraId="7F58016E" w14:textId="77777777" w:rsidR="0095777E" w:rsidRDefault="0095777E" w:rsidP="0095777E">
            <w:pPr>
              <w:rPr>
                <w:color w:val="44546A"/>
              </w:rPr>
            </w:pPr>
            <w:r>
              <w:rPr>
                <w:color w:val="44546A"/>
              </w:rPr>
              <w:t xml:space="preserve">CIPFA is delivering all of our training courses, </w:t>
            </w:r>
            <w:proofErr w:type="gramStart"/>
            <w:r>
              <w:rPr>
                <w:color w:val="44546A"/>
              </w:rPr>
              <w:t>workshops</w:t>
            </w:r>
            <w:proofErr w:type="gramEnd"/>
            <w:r>
              <w:rPr>
                <w:color w:val="44546A"/>
              </w:rPr>
              <w:t xml:space="preserve"> and seminars in accordance with our sustainability strategy. We do not provide hardcopy course materials to delegates and these are now distributed by email in advance of the event. We are striving to reduce our carbon footprint in every way that we can, and we hope that we can count on your support.</w:t>
            </w:r>
          </w:p>
          <w:p w14:paraId="6E3BDA0F" w14:textId="53AF36FB" w:rsidR="00406ED0" w:rsidRPr="004E234A" w:rsidRDefault="00406ED0" w:rsidP="00ED5170">
            <w:pPr>
              <w:contextualSpacing/>
              <w:rPr>
                <w:color w:val="44546A"/>
              </w:rPr>
            </w:pPr>
          </w:p>
        </w:tc>
      </w:tr>
    </w:tbl>
    <w:p w14:paraId="4A7C559D" w14:textId="77777777" w:rsidR="00DE643F" w:rsidRPr="00D313B1" w:rsidRDefault="00DE643F" w:rsidP="00D313B1"/>
    <w:sectPr w:rsidR="00DE643F" w:rsidRPr="00D313B1" w:rsidSect="00260BFE">
      <w:headerReference w:type="default" r:id="rId9"/>
      <w:headerReference w:type="first" r:id="rId10"/>
      <w:pgSz w:w="11906" w:h="16838"/>
      <w:pgMar w:top="1440" w:right="1440" w:bottom="1440"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15432" w14:textId="77777777" w:rsidR="000D3898" w:rsidRDefault="000D3898" w:rsidP="00260BFE">
      <w:r>
        <w:separator/>
      </w:r>
    </w:p>
  </w:endnote>
  <w:endnote w:type="continuationSeparator" w:id="0">
    <w:p w14:paraId="2416B33E" w14:textId="77777777" w:rsidR="000D3898" w:rsidRDefault="000D3898" w:rsidP="0026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D11C3" w14:textId="77777777" w:rsidR="000D3898" w:rsidRDefault="000D3898" w:rsidP="00260BFE">
      <w:r>
        <w:separator/>
      </w:r>
    </w:p>
  </w:footnote>
  <w:footnote w:type="continuationSeparator" w:id="0">
    <w:p w14:paraId="2933C2C5" w14:textId="77777777" w:rsidR="000D3898" w:rsidRDefault="000D3898" w:rsidP="00260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1E24A" w14:textId="77777777" w:rsidR="00A247E7" w:rsidRDefault="00A247E7" w:rsidP="00260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21728" w14:textId="77777777" w:rsidR="00A247E7" w:rsidRDefault="00A247E7" w:rsidP="00260BFE">
    <w:pPr>
      <w:pStyle w:val="Header"/>
    </w:pPr>
  </w:p>
  <w:p w14:paraId="45FF0AC2" w14:textId="77777777" w:rsidR="00A247E7" w:rsidRDefault="00A247E7" w:rsidP="00260BFE">
    <w:pPr>
      <w:pStyle w:val="Header"/>
    </w:pPr>
  </w:p>
  <w:p w14:paraId="644C9B47" w14:textId="77777777" w:rsidR="00A247E7" w:rsidRDefault="00A247E7" w:rsidP="00260BFE">
    <w:pPr>
      <w:pStyle w:val="Header"/>
    </w:pPr>
  </w:p>
  <w:p w14:paraId="69EDD4B9" w14:textId="77777777" w:rsidR="00A247E7" w:rsidRDefault="00A247E7" w:rsidP="00260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005A"/>
    <w:multiLevelType w:val="hybridMultilevel"/>
    <w:tmpl w:val="5BD2D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A1EA6"/>
    <w:multiLevelType w:val="hybridMultilevel"/>
    <w:tmpl w:val="0AB2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F7E42"/>
    <w:multiLevelType w:val="hybridMultilevel"/>
    <w:tmpl w:val="E0BC3A4E"/>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2B2C3B"/>
    <w:multiLevelType w:val="hybridMultilevel"/>
    <w:tmpl w:val="40567910"/>
    <w:lvl w:ilvl="0" w:tplc="89309994">
      <w:numFmt w:val="bullet"/>
      <w:lvlText w:val="•"/>
      <w:lvlJc w:val="left"/>
      <w:pPr>
        <w:ind w:left="1080" w:hanging="72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1C1D2F"/>
    <w:multiLevelType w:val="hybridMultilevel"/>
    <w:tmpl w:val="7C94AC80"/>
    <w:lvl w:ilvl="0" w:tplc="89309994">
      <w:numFmt w:val="bullet"/>
      <w:lvlText w:val="•"/>
      <w:lvlJc w:val="left"/>
      <w:pPr>
        <w:ind w:left="1080" w:hanging="72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3869DA"/>
    <w:multiLevelType w:val="hybridMultilevel"/>
    <w:tmpl w:val="C77C91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F07DEA"/>
    <w:multiLevelType w:val="hybridMultilevel"/>
    <w:tmpl w:val="857A3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84461A"/>
    <w:multiLevelType w:val="multilevel"/>
    <w:tmpl w:val="C77C91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DE55B5"/>
    <w:multiLevelType w:val="hybridMultilevel"/>
    <w:tmpl w:val="8806C2DC"/>
    <w:lvl w:ilvl="0" w:tplc="89309994">
      <w:numFmt w:val="bullet"/>
      <w:lvlText w:val="•"/>
      <w:lvlJc w:val="left"/>
      <w:pPr>
        <w:ind w:left="1080" w:hanging="72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0"/>
  </w:num>
  <w:num w:numId="5">
    <w:abstractNumId w:val="3"/>
  </w:num>
  <w:num w:numId="6">
    <w:abstractNumId w:val="2"/>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9C4"/>
    <w:rsid w:val="0000565E"/>
    <w:rsid w:val="00013D54"/>
    <w:rsid w:val="000158E2"/>
    <w:rsid w:val="00037706"/>
    <w:rsid w:val="00037AF4"/>
    <w:rsid w:val="00042A1E"/>
    <w:rsid w:val="00042E56"/>
    <w:rsid w:val="00043430"/>
    <w:rsid w:val="00057C28"/>
    <w:rsid w:val="00061207"/>
    <w:rsid w:val="000634FD"/>
    <w:rsid w:val="00066265"/>
    <w:rsid w:val="00066719"/>
    <w:rsid w:val="0007183B"/>
    <w:rsid w:val="00074E03"/>
    <w:rsid w:val="0008153D"/>
    <w:rsid w:val="00084330"/>
    <w:rsid w:val="000843D6"/>
    <w:rsid w:val="00087418"/>
    <w:rsid w:val="00093284"/>
    <w:rsid w:val="00093B72"/>
    <w:rsid w:val="00096BD8"/>
    <w:rsid w:val="000A3123"/>
    <w:rsid w:val="000A43B7"/>
    <w:rsid w:val="000B12BA"/>
    <w:rsid w:val="000B347F"/>
    <w:rsid w:val="000C0AC0"/>
    <w:rsid w:val="000C1270"/>
    <w:rsid w:val="000C2145"/>
    <w:rsid w:val="000C5C87"/>
    <w:rsid w:val="000C6F20"/>
    <w:rsid w:val="000D3753"/>
    <w:rsid w:val="000D3898"/>
    <w:rsid w:val="000E0D78"/>
    <w:rsid w:val="000E64E7"/>
    <w:rsid w:val="000F02EF"/>
    <w:rsid w:val="000F40B9"/>
    <w:rsid w:val="00102681"/>
    <w:rsid w:val="0010282D"/>
    <w:rsid w:val="001126CB"/>
    <w:rsid w:val="00112B4A"/>
    <w:rsid w:val="00116BEC"/>
    <w:rsid w:val="0012124D"/>
    <w:rsid w:val="00122192"/>
    <w:rsid w:val="001401A7"/>
    <w:rsid w:val="001406E5"/>
    <w:rsid w:val="00147389"/>
    <w:rsid w:val="001554DE"/>
    <w:rsid w:val="00160FB5"/>
    <w:rsid w:val="00162D6C"/>
    <w:rsid w:val="00163829"/>
    <w:rsid w:val="001648DE"/>
    <w:rsid w:val="0016546A"/>
    <w:rsid w:val="00166B54"/>
    <w:rsid w:val="00173B86"/>
    <w:rsid w:val="0017485C"/>
    <w:rsid w:val="00176A67"/>
    <w:rsid w:val="00180406"/>
    <w:rsid w:val="00180AD6"/>
    <w:rsid w:val="00183BBE"/>
    <w:rsid w:val="001841E2"/>
    <w:rsid w:val="0018498F"/>
    <w:rsid w:val="00185A9F"/>
    <w:rsid w:val="00185C80"/>
    <w:rsid w:val="00190335"/>
    <w:rsid w:val="00191CEE"/>
    <w:rsid w:val="00191D8B"/>
    <w:rsid w:val="0019345E"/>
    <w:rsid w:val="0019585A"/>
    <w:rsid w:val="00195EFD"/>
    <w:rsid w:val="001A0578"/>
    <w:rsid w:val="001A2306"/>
    <w:rsid w:val="001A70F0"/>
    <w:rsid w:val="001A7521"/>
    <w:rsid w:val="001B15F6"/>
    <w:rsid w:val="001B1E5F"/>
    <w:rsid w:val="001B3A75"/>
    <w:rsid w:val="001C35EB"/>
    <w:rsid w:val="001C3D3A"/>
    <w:rsid w:val="001D48B5"/>
    <w:rsid w:val="001E2351"/>
    <w:rsid w:val="001E2D65"/>
    <w:rsid w:val="001E35FB"/>
    <w:rsid w:val="001E5527"/>
    <w:rsid w:val="001F199C"/>
    <w:rsid w:val="001F44F2"/>
    <w:rsid w:val="001F460E"/>
    <w:rsid w:val="001F5D9A"/>
    <w:rsid w:val="002045D0"/>
    <w:rsid w:val="00210A49"/>
    <w:rsid w:val="00210CC1"/>
    <w:rsid w:val="00212E2B"/>
    <w:rsid w:val="0021357E"/>
    <w:rsid w:val="002168FD"/>
    <w:rsid w:val="002242A1"/>
    <w:rsid w:val="00227D30"/>
    <w:rsid w:val="00240C83"/>
    <w:rsid w:val="00242C9B"/>
    <w:rsid w:val="00245B4B"/>
    <w:rsid w:val="00246A9F"/>
    <w:rsid w:val="002505FA"/>
    <w:rsid w:val="00257217"/>
    <w:rsid w:val="002574FF"/>
    <w:rsid w:val="002600B7"/>
    <w:rsid w:val="00260BFE"/>
    <w:rsid w:val="00261FB8"/>
    <w:rsid w:val="0027109B"/>
    <w:rsid w:val="00272B02"/>
    <w:rsid w:val="00272F4E"/>
    <w:rsid w:val="002756EA"/>
    <w:rsid w:val="0027767A"/>
    <w:rsid w:val="00280B57"/>
    <w:rsid w:val="0028156D"/>
    <w:rsid w:val="00281A8F"/>
    <w:rsid w:val="00281E27"/>
    <w:rsid w:val="002832D2"/>
    <w:rsid w:val="002853CB"/>
    <w:rsid w:val="00290129"/>
    <w:rsid w:val="00290AC1"/>
    <w:rsid w:val="00292240"/>
    <w:rsid w:val="00293663"/>
    <w:rsid w:val="00294349"/>
    <w:rsid w:val="002A0C3F"/>
    <w:rsid w:val="002A1928"/>
    <w:rsid w:val="002A1FC1"/>
    <w:rsid w:val="002A2466"/>
    <w:rsid w:val="002A4DDF"/>
    <w:rsid w:val="002B1963"/>
    <w:rsid w:val="002C2C70"/>
    <w:rsid w:val="002C2D20"/>
    <w:rsid w:val="002C447A"/>
    <w:rsid w:val="002C5947"/>
    <w:rsid w:val="002D6E64"/>
    <w:rsid w:val="002E12EF"/>
    <w:rsid w:val="002E4746"/>
    <w:rsid w:val="002E59B5"/>
    <w:rsid w:val="002F06E4"/>
    <w:rsid w:val="002F15F4"/>
    <w:rsid w:val="003057B6"/>
    <w:rsid w:val="0030611F"/>
    <w:rsid w:val="00310BB8"/>
    <w:rsid w:val="00314004"/>
    <w:rsid w:val="00323A90"/>
    <w:rsid w:val="003248A7"/>
    <w:rsid w:val="00327800"/>
    <w:rsid w:val="00334B44"/>
    <w:rsid w:val="003371A0"/>
    <w:rsid w:val="00344E13"/>
    <w:rsid w:val="003459A7"/>
    <w:rsid w:val="0034634A"/>
    <w:rsid w:val="003571FD"/>
    <w:rsid w:val="00366AF4"/>
    <w:rsid w:val="00373069"/>
    <w:rsid w:val="00374182"/>
    <w:rsid w:val="00376ACA"/>
    <w:rsid w:val="00377100"/>
    <w:rsid w:val="00384220"/>
    <w:rsid w:val="00384643"/>
    <w:rsid w:val="0039072A"/>
    <w:rsid w:val="00393191"/>
    <w:rsid w:val="003A3F91"/>
    <w:rsid w:val="003B2949"/>
    <w:rsid w:val="003C24A4"/>
    <w:rsid w:val="003D592A"/>
    <w:rsid w:val="003D706C"/>
    <w:rsid w:val="003D77CB"/>
    <w:rsid w:val="003E5B18"/>
    <w:rsid w:val="003E617A"/>
    <w:rsid w:val="003F016A"/>
    <w:rsid w:val="003F7139"/>
    <w:rsid w:val="00404F5E"/>
    <w:rsid w:val="00406ED0"/>
    <w:rsid w:val="00410D02"/>
    <w:rsid w:val="00414B98"/>
    <w:rsid w:val="004176D2"/>
    <w:rsid w:val="004208F4"/>
    <w:rsid w:val="00424344"/>
    <w:rsid w:val="00430F5F"/>
    <w:rsid w:val="00444A6D"/>
    <w:rsid w:val="00444E7D"/>
    <w:rsid w:val="00451830"/>
    <w:rsid w:val="00455600"/>
    <w:rsid w:val="00455B9A"/>
    <w:rsid w:val="00455DFD"/>
    <w:rsid w:val="004561B1"/>
    <w:rsid w:val="004574E1"/>
    <w:rsid w:val="00461655"/>
    <w:rsid w:val="004629D4"/>
    <w:rsid w:val="004738E8"/>
    <w:rsid w:val="004739E4"/>
    <w:rsid w:val="004743A9"/>
    <w:rsid w:val="0049128E"/>
    <w:rsid w:val="00492D9B"/>
    <w:rsid w:val="00495B73"/>
    <w:rsid w:val="004A1FE1"/>
    <w:rsid w:val="004A33CF"/>
    <w:rsid w:val="004C6ABA"/>
    <w:rsid w:val="004C7DDB"/>
    <w:rsid w:val="004D111B"/>
    <w:rsid w:val="004D6E31"/>
    <w:rsid w:val="004E1FE1"/>
    <w:rsid w:val="004E234A"/>
    <w:rsid w:val="004E2C95"/>
    <w:rsid w:val="004E3A3A"/>
    <w:rsid w:val="004E5260"/>
    <w:rsid w:val="004E678E"/>
    <w:rsid w:val="004E7062"/>
    <w:rsid w:val="004F3C5E"/>
    <w:rsid w:val="005008E2"/>
    <w:rsid w:val="00501F36"/>
    <w:rsid w:val="00502549"/>
    <w:rsid w:val="005045DC"/>
    <w:rsid w:val="0050666E"/>
    <w:rsid w:val="005076E9"/>
    <w:rsid w:val="00515CDC"/>
    <w:rsid w:val="00520DC8"/>
    <w:rsid w:val="005223F0"/>
    <w:rsid w:val="00522925"/>
    <w:rsid w:val="00530C9B"/>
    <w:rsid w:val="00531998"/>
    <w:rsid w:val="00535F2E"/>
    <w:rsid w:val="00551BAA"/>
    <w:rsid w:val="005531CC"/>
    <w:rsid w:val="0055707E"/>
    <w:rsid w:val="00561794"/>
    <w:rsid w:val="00563242"/>
    <w:rsid w:val="00567B6F"/>
    <w:rsid w:val="00567E23"/>
    <w:rsid w:val="00572511"/>
    <w:rsid w:val="00581872"/>
    <w:rsid w:val="0058647E"/>
    <w:rsid w:val="005A1B94"/>
    <w:rsid w:val="005A23FC"/>
    <w:rsid w:val="005A245A"/>
    <w:rsid w:val="005A2866"/>
    <w:rsid w:val="005A289E"/>
    <w:rsid w:val="005A54DB"/>
    <w:rsid w:val="005A729F"/>
    <w:rsid w:val="005B6718"/>
    <w:rsid w:val="005C5674"/>
    <w:rsid w:val="005C5877"/>
    <w:rsid w:val="005C7F83"/>
    <w:rsid w:val="005D08C4"/>
    <w:rsid w:val="005D0F74"/>
    <w:rsid w:val="005D597E"/>
    <w:rsid w:val="005E340C"/>
    <w:rsid w:val="005E4659"/>
    <w:rsid w:val="005E5396"/>
    <w:rsid w:val="005E6014"/>
    <w:rsid w:val="005F1073"/>
    <w:rsid w:val="005F4F5F"/>
    <w:rsid w:val="005F5945"/>
    <w:rsid w:val="005F712A"/>
    <w:rsid w:val="00602962"/>
    <w:rsid w:val="006035F0"/>
    <w:rsid w:val="00610A85"/>
    <w:rsid w:val="0061247C"/>
    <w:rsid w:val="00612C37"/>
    <w:rsid w:val="00616452"/>
    <w:rsid w:val="00620435"/>
    <w:rsid w:val="006277AA"/>
    <w:rsid w:val="00631DD8"/>
    <w:rsid w:val="00634192"/>
    <w:rsid w:val="00635B5A"/>
    <w:rsid w:val="006369E9"/>
    <w:rsid w:val="00646DD5"/>
    <w:rsid w:val="00652551"/>
    <w:rsid w:val="006528EB"/>
    <w:rsid w:val="00654606"/>
    <w:rsid w:val="00655598"/>
    <w:rsid w:val="00660334"/>
    <w:rsid w:val="00662EEA"/>
    <w:rsid w:val="006641D0"/>
    <w:rsid w:val="0066472F"/>
    <w:rsid w:val="00665024"/>
    <w:rsid w:val="0066592B"/>
    <w:rsid w:val="00676DD6"/>
    <w:rsid w:val="006779C4"/>
    <w:rsid w:val="00677A16"/>
    <w:rsid w:val="0068460A"/>
    <w:rsid w:val="0068592D"/>
    <w:rsid w:val="0069708A"/>
    <w:rsid w:val="00697B1E"/>
    <w:rsid w:val="006A3C8B"/>
    <w:rsid w:val="006C577C"/>
    <w:rsid w:val="006C5A64"/>
    <w:rsid w:val="006C729D"/>
    <w:rsid w:val="006D1EF3"/>
    <w:rsid w:val="006D6160"/>
    <w:rsid w:val="007030C0"/>
    <w:rsid w:val="007073D4"/>
    <w:rsid w:val="00707528"/>
    <w:rsid w:val="007104DF"/>
    <w:rsid w:val="007108F3"/>
    <w:rsid w:val="00712843"/>
    <w:rsid w:val="0071288A"/>
    <w:rsid w:val="0071295F"/>
    <w:rsid w:val="0071311F"/>
    <w:rsid w:val="00715B84"/>
    <w:rsid w:val="0071736E"/>
    <w:rsid w:val="00722809"/>
    <w:rsid w:val="007238AD"/>
    <w:rsid w:val="007267CD"/>
    <w:rsid w:val="00731A5A"/>
    <w:rsid w:val="00735A8D"/>
    <w:rsid w:val="00740288"/>
    <w:rsid w:val="007414E1"/>
    <w:rsid w:val="007522FF"/>
    <w:rsid w:val="00752E5F"/>
    <w:rsid w:val="007579C9"/>
    <w:rsid w:val="007608B4"/>
    <w:rsid w:val="0078236D"/>
    <w:rsid w:val="00784B9C"/>
    <w:rsid w:val="00785290"/>
    <w:rsid w:val="007924D0"/>
    <w:rsid w:val="0079333C"/>
    <w:rsid w:val="00793E27"/>
    <w:rsid w:val="007945D2"/>
    <w:rsid w:val="007A164B"/>
    <w:rsid w:val="007A46F8"/>
    <w:rsid w:val="007A5BDD"/>
    <w:rsid w:val="007A62EA"/>
    <w:rsid w:val="007A7837"/>
    <w:rsid w:val="007B777B"/>
    <w:rsid w:val="007C098D"/>
    <w:rsid w:val="007C5A4B"/>
    <w:rsid w:val="007C7492"/>
    <w:rsid w:val="007E3592"/>
    <w:rsid w:val="007E5F89"/>
    <w:rsid w:val="007E7C90"/>
    <w:rsid w:val="00806567"/>
    <w:rsid w:val="00806A61"/>
    <w:rsid w:val="00807E82"/>
    <w:rsid w:val="00812808"/>
    <w:rsid w:val="00817438"/>
    <w:rsid w:val="008252E0"/>
    <w:rsid w:val="008311CB"/>
    <w:rsid w:val="00833D04"/>
    <w:rsid w:val="00835898"/>
    <w:rsid w:val="008362C8"/>
    <w:rsid w:val="0084024A"/>
    <w:rsid w:val="008404D2"/>
    <w:rsid w:val="00840BBC"/>
    <w:rsid w:val="00841205"/>
    <w:rsid w:val="00843192"/>
    <w:rsid w:val="00844CF2"/>
    <w:rsid w:val="00861D2B"/>
    <w:rsid w:val="008651C7"/>
    <w:rsid w:val="008703BA"/>
    <w:rsid w:val="00870D91"/>
    <w:rsid w:val="0087342F"/>
    <w:rsid w:val="00873C12"/>
    <w:rsid w:val="00875E45"/>
    <w:rsid w:val="00882F91"/>
    <w:rsid w:val="00884C8F"/>
    <w:rsid w:val="00885E04"/>
    <w:rsid w:val="00885F4A"/>
    <w:rsid w:val="008952AA"/>
    <w:rsid w:val="008A026A"/>
    <w:rsid w:val="008B172B"/>
    <w:rsid w:val="008C2DE4"/>
    <w:rsid w:val="008C4F23"/>
    <w:rsid w:val="008C4FBE"/>
    <w:rsid w:val="008D2FCC"/>
    <w:rsid w:val="008D4645"/>
    <w:rsid w:val="008D4702"/>
    <w:rsid w:val="008D575F"/>
    <w:rsid w:val="008F0DCA"/>
    <w:rsid w:val="008F5A21"/>
    <w:rsid w:val="009034B5"/>
    <w:rsid w:val="00912DEB"/>
    <w:rsid w:val="009130ED"/>
    <w:rsid w:val="00914979"/>
    <w:rsid w:val="00921451"/>
    <w:rsid w:val="00921802"/>
    <w:rsid w:val="00923334"/>
    <w:rsid w:val="00924AD9"/>
    <w:rsid w:val="00930479"/>
    <w:rsid w:val="00931F29"/>
    <w:rsid w:val="00932265"/>
    <w:rsid w:val="0093487B"/>
    <w:rsid w:val="00936565"/>
    <w:rsid w:val="0094730E"/>
    <w:rsid w:val="00947D70"/>
    <w:rsid w:val="0095541C"/>
    <w:rsid w:val="0095777E"/>
    <w:rsid w:val="00960791"/>
    <w:rsid w:val="009616FA"/>
    <w:rsid w:val="00976F0E"/>
    <w:rsid w:val="009778A9"/>
    <w:rsid w:val="00977CFD"/>
    <w:rsid w:val="00980283"/>
    <w:rsid w:val="00981A21"/>
    <w:rsid w:val="00982B1E"/>
    <w:rsid w:val="00982FDB"/>
    <w:rsid w:val="00996439"/>
    <w:rsid w:val="009A0A38"/>
    <w:rsid w:val="009A3FC4"/>
    <w:rsid w:val="009A6E11"/>
    <w:rsid w:val="009B384F"/>
    <w:rsid w:val="009B4827"/>
    <w:rsid w:val="009B4D9A"/>
    <w:rsid w:val="009B6957"/>
    <w:rsid w:val="009C1DA6"/>
    <w:rsid w:val="009C5B58"/>
    <w:rsid w:val="009D133A"/>
    <w:rsid w:val="009D1F9A"/>
    <w:rsid w:val="009E174F"/>
    <w:rsid w:val="009E56CF"/>
    <w:rsid w:val="009F1AFE"/>
    <w:rsid w:val="009F556D"/>
    <w:rsid w:val="00A004AC"/>
    <w:rsid w:val="00A03D4C"/>
    <w:rsid w:val="00A0665C"/>
    <w:rsid w:val="00A06A7B"/>
    <w:rsid w:val="00A2100D"/>
    <w:rsid w:val="00A22B5F"/>
    <w:rsid w:val="00A247E7"/>
    <w:rsid w:val="00A306E7"/>
    <w:rsid w:val="00A321D0"/>
    <w:rsid w:val="00A33A43"/>
    <w:rsid w:val="00A34FA9"/>
    <w:rsid w:val="00A35553"/>
    <w:rsid w:val="00A40125"/>
    <w:rsid w:val="00A4504F"/>
    <w:rsid w:val="00A451E3"/>
    <w:rsid w:val="00A45CAE"/>
    <w:rsid w:val="00A5136B"/>
    <w:rsid w:val="00A5143D"/>
    <w:rsid w:val="00A526D3"/>
    <w:rsid w:val="00A55554"/>
    <w:rsid w:val="00A617EC"/>
    <w:rsid w:val="00A6262F"/>
    <w:rsid w:val="00A638B0"/>
    <w:rsid w:val="00A718B8"/>
    <w:rsid w:val="00A74C45"/>
    <w:rsid w:val="00A74DE6"/>
    <w:rsid w:val="00A92713"/>
    <w:rsid w:val="00A937FA"/>
    <w:rsid w:val="00AB2E83"/>
    <w:rsid w:val="00AB5326"/>
    <w:rsid w:val="00AB6FC8"/>
    <w:rsid w:val="00AC0F73"/>
    <w:rsid w:val="00AC2D3C"/>
    <w:rsid w:val="00AC3004"/>
    <w:rsid w:val="00AC64C2"/>
    <w:rsid w:val="00AC66CA"/>
    <w:rsid w:val="00AD5D75"/>
    <w:rsid w:val="00AE6554"/>
    <w:rsid w:val="00AE73B3"/>
    <w:rsid w:val="00AE7774"/>
    <w:rsid w:val="00AF4835"/>
    <w:rsid w:val="00AF60FB"/>
    <w:rsid w:val="00AF73E5"/>
    <w:rsid w:val="00B016BA"/>
    <w:rsid w:val="00B02290"/>
    <w:rsid w:val="00B0374D"/>
    <w:rsid w:val="00B070E0"/>
    <w:rsid w:val="00B10CE6"/>
    <w:rsid w:val="00B14200"/>
    <w:rsid w:val="00B1428A"/>
    <w:rsid w:val="00B145F9"/>
    <w:rsid w:val="00B1493D"/>
    <w:rsid w:val="00B2558E"/>
    <w:rsid w:val="00B27C13"/>
    <w:rsid w:val="00B326F9"/>
    <w:rsid w:val="00B37561"/>
    <w:rsid w:val="00B37815"/>
    <w:rsid w:val="00B41C69"/>
    <w:rsid w:val="00B428AC"/>
    <w:rsid w:val="00B42FB6"/>
    <w:rsid w:val="00B4413E"/>
    <w:rsid w:val="00B51122"/>
    <w:rsid w:val="00B53B73"/>
    <w:rsid w:val="00B56CDD"/>
    <w:rsid w:val="00B5774A"/>
    <w:rsid w:val="00B60A67"/>
    <w:rsid w:val="00B61E90"/>
    <w:rsid w:val="00B70B1D"/>
    <w:rsid w:val="00B749DB"/>
    <w:rsid w:val="00B82D3A"/>
    <w:rsid w:val="00B930D6"/>
    <w:rsid w:val="00B94777"/>
    <w:rsid w:val="00BA11C8"/>
    <w:rsid w:val="00BA184B"/>
    <w:rsid w:val="00BA2784"/>
    <w:rsid w:val="00BB2F43"/>
    <w:rsid w:val="00BB5382"/>
    <w:rsid w:val="00BB6ABE"/>
    <w:rsid w:val="00BB6D6F"/>
    <w:rsid w:val="00BB7D61"/>
    <w:rsid w:val="00BC642E"/>
    <w:rsid w:val="00BD11AB"/>
    <w:rsid w:val="00BE027E"/>
    <w:rsid w:val="00BE32E9"/>
    <w:rsid w:val="00BE73A5"/>
    <w:rsid w:val="00BF345D"/>
    <w:rsid w:val="00BF3F67"/>
    <w:rsid w:val="00BF4B6C"/>
    <w:rsid w:val="00BF6DAA"/>
    <w:rsid w:val="00C01FE2"/>
    <w:rsid w:val="00C02D48"/>
    <w:rsid w:val="00C03B3E"/>
    <w:rsid w:val="00C03E98"/>
    <w:rsid w:val="00C10294"/>
    <w:rsid w:val="00C12600"/>
    <w:rsid w:val="00C15D65"/>
    <w:rsid w:val="00C23AFD"/>
    <w:rsid w:val="00C25EBA"/>
    <w:rsid w:val="00C27702"/>
    <w:rsid w:val="00C30B9E"/>
    <w:rsid w:val="00C4606B"/>
    <w:rsid w:val="00C47C03"/>
    <w:rsid w:val="00C530CE"/>
    <w:rsid w:val="00C64806"/>
    <w:rsid w:val="00C66B7A"/>
    <w:rsid w:val="00C77C29"/>
    <w:rsid w:val="00C82422"/>
    <w:rsid w:val="00C83968"/>
    <w:rsid w:val="00C85965"/>
    <w:rsid w:val="00C91D27"/>
    <w:rsid w:val="00C91FD0"/>
    <w:rsid w:val="00CA13AF"/>
    <w:rsid w:val="00CA3B64"/>
    <w:rsid w:val="00CA6A2F"/>
    <w:rsid w:val="00CA6B3B"/>
    <w:rsid w:val="00CB06A5"/>
    <w:rsid w:val="00CB1524"/>
    <w:rsid w:val="00CB57FC"/>
    <w:rsid w:val="00CC1C81"/>
    <w:rsid w:val="00CC354F"/>
    <w:rsid w:val="00CD2B95"/>
    <w:rsid w:val="00CD4DE5"/>
    <w:rsid w:val="00CD550B"/>
    <w:rsid w:val="00CD6744"/>
    <w:rsid w:val="00CE0379"/>
    <w:rsid w:val="00CE2B2D"/>
    <w:rsid w:val="00CE326E"/>
    <w:rsid w:val="00CE495A"/>
    <w:rsid w:val="00CF2912"/>
    <w:rsid w:val="00CF4173"/>
    <w:rsid w:val="00CF41E6"/>
    <w:rsid w:val="00CF4DFC"/>
    <w:rsid w:val="00CF6F27"/>
    <w:rsid w:val="00CF7C5A"/>
    <w:rsid w:val="00D024B6"/>
    <w:rsid w:val="00D162DC"/>
    <w:rsid w:val="00D1663C"/>
    <w:rsid w:val="00D20406"/>
    <w:rsid w:val="00D24D39"/>
    <w:rsid w:val="00D251F1"/>
    <w:rsid w:val="00D257C2"/>
    <w:rsid w:val="00D25D2A"/>
    <w:rsid w:val="00D313B1"/>
    <w:rsid w:val="00D3575E"/>
    <w:rsid w:val="00D36DE6"/>
    <w:rsid w:val="00D45D72"/>
    <w:rsid w:val="00D53A6E"/>
    <w:rsid w:val="00D606F1"/>
    <w:rsid w:val="00D62A81"/>
    <w:rsid w:val="00D64E0A"/>
    <w:rsid w:val="00D7078C"/>
    <w:rsid w:val="00D80C47"/>
    <w:rsid w:val="00D81A2E"/>
    <w:rsid w:val="00D83E8F"/>
    <w:rsid w:val="00D8566A"/>
    <w:rsid w:val="00D933A3"/>
    <w:rsid w:val="00D945BA"/>
    <w:rsid w:val="00D966AE"/>
    <w:rsid w:val="00D97677"/>
    <w:rsid w:val="00DA4433"/>
    <w:rsid w:val="00DA72C7"/>
    <w:rsid w:val="00DC4EB8"/>
    <w:rsid w:val="00DC5804"/>
    <w:rsid w:val="00DD7174"/>
    <w:rsid w:val="00DD722C"/>
    <w:rsid w:val="00DE4992"/>
    <w:rsid w:val="00DE4A4D"/>
    <w:rsid w:val="00DE643F"/>
    <w:rsid w:val="00DE7CF0"/>
    <w:rsid w:val="00DF142F"/>
    <w:rsid w:val="00DF24D9"/>
    <w:rsid w:val="00DF6B7C"/>
    <w:rsid w:val="00DF70DC"/>
    <w:rsid w:val="00E020DF"/>
    <w:rsid w:val="00E046C3"/>
    <w:rsid w:val="00E13364"/>
    <w:rsid w:val="00E223A3"/>
    <w:rsid w:val="00E228F0"/>
    <w:rsid w:val="00E270BF"/>
    <w:rsid w:val="00E27C1C"/>
    <w:rsid w:val="00E34362"/>
    <w:rsid w:val="00E34DEB"/>
    <w:rsid w:val="00E357CC"/>
    <w:rsid w:val="00E35C1A"/>
    <w:rsid w:val="00E428CE"/>
    <w:rsid w:val="00E42A8F"/>
    <w:rsid w:val="00E44336"/>
    <w:rsid w:val="00E526A0"/>
    <w:rsid w:val="00E536F1"/>
    <w:rsid w:val="00E614DC"/>
    <w:rsid w:val="00E63F21"/>
    <w:rsid w:val="00E649C4"/>
    <w:rsid w:val="00E715DD"/>
    <w:rsid w:val="00E717FE"/>
    <w:rsid w:val="00E8013D"/>
    <w:rsid w:val="00E804BE"/>
    <w:rsid w:val="00E8232A"/>
    <w:rsid w:val="00E83DDC"/>
    <w:rsid w:val="00E87AAC"/>
    <w:rsid w:val="00E9463A"/>
    <w:rsid w:val="00EA1618"/>
    <w:rsid w:val="00EC0248"/>
    <w:rsid w:val="00EC0A55"/>
    <w:rsid w:val="00ED02D9"/>
    <w:rsid w:val="00ED1DE0"/>
    <w:rsid w:val="00ED1FAC"/>
    <w:rsid w:val="00ED256D"/>
    <w:rsid w:val="00ED5170"/>
    <w:rsid w:val="00EE282F"/>
    <w:rsid w:val="00EE4389"/>
    <w:rsid w:val="00EF7351"/>
    <w:rsid w:val="00F04F9B"/>
    <w:rsid w:val="00F065D1"/>
    <w:rsid w:val="00F12A54"/>
    <w:rsid w:val="00F1632F"/>
    <w:rsid w:val="00F167C0"/>
    <w:rsid w:val="00F2647A"/>
    <w:rsid w:val="00F30A93"/>
    <w:rsid w:val="00F34D62"/>
    <w:rsid w:val="00F3606B"/>
    <w:rsid w:val="00F36434"/>
    <w:rsid w:val="00F4330C"/>
    <w:rsid w:val="00F50DB2"/>
    <w:rsid w:val="00F5438A"/>
    <w:rsid w:val="00F64E1A"/>
    <w:rsid w:val="00F73FF3"/>
    <w:rsid w:val="00F803CF"/>
    <w:rsid w:val="00F816ED"/>
    <w:rsid w:val="00F941E4"/>
    <w:rsid w:val="00F95DF3"/>
    <w:rsid w:val="00FA0117"/>
    <w:rsid w:val="00FA4311"/>
    <w:rsid w:val="00FA6CA3"/>
    <w:rsid w:val="00FB3DFE"/>
    <w:rsid w:val="00FB705E"/>
    <w:rsid w:val="00FC6379"/>
    <w:rsid w:val="00FD0B62"/>
    <w:rsid w:val="00FD5C3C"/>
    <w:rsid w:val="00FD61B5"/>
    <w:rsid w:val="00FE4E8D"/>
    <w:rsid w:val="00FE68C8"/>
    <w:rsid w:val="00FE7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9E868CF"/>
  <w15:docId w15:val="{38CB1F3A-1F47-4505-A719-235059B3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0BFE"/>
    <w:rPr>
      <w:rFonts w:ascii="Verdana" w:hAnsi="Verdana"/>
      <w:szCs w:val="24"/>
      <w:lang w:eastAsia="en-US"/>
    </w:rPr>
  </w:style>
  <w:style w:type="paragraph" w:styleId="Heading1">
    <w:name w:val="heading 1"/>
    <w:basedOn w:val="Normal"/>
    <w:next w:val="Normal"/>
    <w:qFormat/>
    <w:pPr>
      <w:keepNext/>
      <w:outlineLvl w:val="0"/>
    </w:pPr>
    <w:rPr>
      <w:rFonts w:ascii="Arial" w:hAnsi="Arial" w:cs="Arial"/>
      <w:sz w:val="28"/>
    </w:rPr>
  </w:style>
  <w:style w:type="paragraph" w:styleId="Heading2">
    <w:name w:val="heading 2"/>
    <w:basedOn w:val="Normal"/>
    <w:next w:val="Normal"/>
    <w:qFormat/>
    <w:pPr>
      <w:keepNext/>
      <w:ind w:left="-1080" w:right="-1234"/>
      <w:jc w:val="right"/>
      <w:outlineLvl w:val="1"/>
    </w:pPr>
    <w:rPr>
      <w:rFonts w:ascii="Arial" w:hAnsi="Arial" w:cs="Arial"/>
      <w:i/>
      <w:iCs/>
    </w:rPr>
  </w:style>
  <w:style w:type="paragraph" w:styleId="Heading3">
    <w:name w:val="heading 3"/>
    <w:basedOn w:val="Normal"/>
    <w:next w:val="Normal"/>
    <w:qFormat/>
    <w:pPr>
      <w:keepNext/>
      <w:ind w:left="-1080" w:right="-1234"/>
      <w:jc w:val="both"/>
      <w:outlineLvl w:val="2"/>
    </w:pPr>
    <w:rPr>
      <w:rFonts w:ascii="Arial" w:hAnsi="Arial" w:cs="Arial"/>
      <w:i/>
      <w:iCs/>
    </w:rPr>
  </w:style>
  <w:style w:type="paragraph" w:styleId="Heading4">
    <w:name w:val="heading 4"/>
    <w:basedOn w:val="Normal"/>
    <w:next w:val="Normal"/>
    <w:qFormat/>
    <w:pPr>
      <w:keepNext/>
      <w:spacing w:before="240" w:after="60"/>
      <w:outlineLvl w:val="3"/>
    </w:pPr>
    <w:rPr>
      <w:b/>
      <w:bCs/>
      <w:sz w:val="28"/>
      <w:szCs w:val="28"/>
    </w:rPr>
  </w:style>
  <w:style w:type="paragraph" w:styleId="Heading6">
    <w:name w:val="heading 6"/>
    <w:basedOn w:val="Normal"/>
    <w:next w:val="Normal"/>
    <w:qFormat/>
    <w:pPr>
      <w:keepNext/>
      <w:jc w:val="both"/>
      <w:outlineLvl w:val="5"/>
    </w:pPr>
    <w:rPr>
      <w:rFonts w:ascii="News Gothic MT" w:hAnsi="News Gothic MT"/>
      <w:b/>
      <w:bCs/>
      <w:sz w:val="18"/>
      <w:szCs w:val="20"/>
    </w:rPr>
  </w:style>
  <w:style w:type="paragraph" w:styleId="Heading9">
    <w:name w:val="heading 9"/>
    <w:basedOn w:val="Normal"/>
    <w:next w:val="Normal"/>
    <w:link w:val="Heading9Char"/>
    <w:qFormat/>
    <w:pPr>
      <w:keepNext/>
      <w:outlineLvl w:val="8"/>
    </w:pPr>
    <w:rPr>
      <w:rFonts w:ascii="News Gothic MT" w:hAnsi="News Gothic MT"/>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News Gothic MT" w:hAnsi="News Gothic MT"/>
      <w:sz w:val="18"/>
    </w:rPr>
  </w:style>
  <w:style w:type="paragraph" w:styleId="BodyText2">
    <w:name w:val="Body Text 2"/>
    <w:basedOn w:val="Normal"/>
    <w:rPr>
      <w:rFonts w:ascii="Arial" w:hAnsi="Arial" w:cs="Arial"/>
      <w:i/>
      <w:iCs/>
    </w:rPr>
  </w:style>
  <w:style w:type="paragraph" w:styleId="Title">
    <w:name w:val="Title"/>
    <w:basedOn w:val="Normal"/>
    <w:qFormat/>
    <w:pPr>
      <w:jc w:val="center"/>
    </w:pPr>
    <w:rPr>
      <w:rFonts w:ascii="News Gothic MT" w:hAnsi="News Gothic MT"/>
      <w:b/>
      <w:bCs/>
      <w:sz w:val="22"/>
    </w:rPr>
  </w:style>
  <w:style w:type="paragraph" w:styleId="BodyText3">
    <w:name w:val="Body Text 3"/>
    <w:basedOn w:val="Normal"/>
    <w:link w:val="BodyText3Char"/>
    <w:pPr>
      <w:jc w:val="both"/>
    </w:pPr>
    <w:rPr>
      <w:rFonts w:ascii="Arial" w:hAnsi="Arial" w:cs="Arial"/>
    </w:rPr>
  </w:style>
  <w:style w:type="paragraph" w:styleId="BlockText">
    <w:name w:val="Block Text"/>
    <w:basedOn w:val="Normal"/>
    <w:pPr>
      <w:ind w:left="-1080" w:right="-1234"/>
      <w:jc w:val="both"/>
    </w:pPr>
    <w:rPr>
      <w:rFonts w:ascii="Arial" w:hAnsi="Arial" w:cs="Arial"/>
      <w:i/>
      <w:iC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Cs w:val="20"/>
    </w:rPr>
  </w:style>
  <w:style w:type="paragraph" w:styleId="BodyTextIndent2">
    <w:name w:val="Body Text Indent 2"/>
    <w:basedOn w:val="Normal"/>
    <w:pPr>
      <w:ind w:firstLine="4"/>
      <w:jc w:val="both"/>
    </w:pPr>
    <w:rPr>
      <w:rFonts w:ascii="News Gothic MT" w:hAnsi="News Gothic MT"/>
      <w:sz w:val="18"/>
      <w:szCs w:val="20"/>
    </w:rPr>
  </w:style>
  <w:style w:type="character" w:styleId="Emphasis">
    <w:name w:val="Emphasis"/>
    <w:qFormat/>
    <w:rsid w:val="00C91D27"/>
    <w:rPr>
      <w:i/>
      <w:iCs/>
    </w:rPr>
  </w:style>
  <w:style w:type="character" w:customStyle="1" w:styleId="HeaderChar">
    <w:name w:val="Header Char"/>
    <w:link w:val="Header"/>
    <w:rsid w:val="00FB3DFE"/>
    <w:rPr>
      <w:sz w:val="24"/>
      <w:szCs w:val="24"/>
      <w:lang w:eastAsia="en-US"/>
    </w:rPr>
  </w:style>
  <w:style w:type="character" w:customStyle="1" w:styleId="BodyText3Char">
    <w:name w:val="Body Text 3 Char"/>
    <w:link w:val="BodyText3"/>
    <w:rsid w:val="00FB3DFE"/>
    <w:rPr>
      <w:rFonts w:ascii="Arial" w:hAnsi="Arial" w:cs="Arial"/>
      <w:sz w:val="24"/>
      <w:szCs w:val="24"/>
      <w:lang w:eastAsia="en-US"/>
    </w:rPr>
  </w:style>
  <w:style w:type="character" w:customStyle="1" w:styleId="Heading9Char">
    <w:name w:val="Heading 9 Char"/>
    <w:link w:val="Heading9"/>
    <w:rsid w:val="001E2351"/>
    <w:rPr>
      <w:rFonts w:ascii="News Gothic MT" w:hAnsi="News Gothic MT"/>
      <w:b/>
      <w:bCs/>
      <w:i/>
      <w:iCs/>
      <w:sz w:val="24"/>
      <w:lang w:eastAsia="en-US"/>
    </w:rPr>
  </w:style>
  <w:style w:type="paragraph" w:customStyle="1" w:styleId="Default">
    <w:name w:val="Default"/>
    <w:rsid w:val="003F7139"/>
    <w:pPr>
      <w:autoSpaceDE w:val="0"/>
      <w:autoSpaceDN w:val="0"/>
      <w:adjustRightInd w:val="0"/>
    </w:pPr>
    <w:rPr>
      <w:rFonts w:ascii="Verdana" w:hAnsi="Verdana" w:cs="Verdana"/>
      <w:color w:val="000000"/>
      <w:sz w:val="24"/>
      <w:szCs w:val="24"/>
    </w:rPr>
  </w:style>
  <w:style w:type="paragraph" w:styleId="NoSpacing">
    <w:name w:val="No Spacing"/>
    <w:autoRedefine/>
    <w:uiPriority w:val="1"/>
    <w:qFormat/>
    <w:rsid w:val="00D313B1"/>
    <w:pPr>
      <w:tabs>
        <w:tab w:val="left" w:pos="5703"/>
      </w:tabs>
    </w:pPr>
    <w:rPr>
      <w:rFonts w:ascii="Verdana" w:hAnsi="Verdana"/>
      <w:color w:val="44546A"/>
      <w:lang w:eastAsia="en-US"/>
    </w:rPr>
  </w:style>
  <w:style w:type="character" w:styleId="SubtleEmphasis">
    <w:name w:val="Subtle Emphasis"/>
    <w:uiPriority w:val="19"/>
    <w:rsid w:val="00260BFE"/>
    <w:rPr>
      <w:i/>
      <w:iCs/>
      <w:color w:val="404040"/>
    </w:rPr>
  </w:style>
  <w:style w:type="character" w:styleId="IntenseEmphasis">
    <w:name w:val="Intense Emphasis"/>
    <w:uiPriority w:val="21"/>
    <w:rsid w:val="00260BFE"/>
    <w:rPr>
      <w:i/>
      <w:iCs/>
      <w:color w:val="5B9BD5"/>
    </w:rPr>
  </w:style>
  <w:style w:type="paragraph" w:styleId="Quote">
    <w:name w:val="Quote"/>
    <w:basedOn w:val="Normal"/>
    <w:next w:val="Normal"/>
    <w:link w:val="QuoteChar"/>
    <w:uiPriority w:val="29"/>
    <w:qFormat/>
    <w:rsid w:val="00D313B1"/>
    <w:pPr>
      <w:spacing w:before="200" w:after="160"/>
      <w:ind w:left="864" w:right="864"/>
      <w:jc w:val="center"/>
    </w:pPr>
    <w:rPr>
      <w:i/>
      <w:iCs/>
      <w:color w:val="404040"/>
    </w:rPr>
  </w:style>
  <w:style w:type="character" w:customStyle="1" w:styleId="QuoteChar">
    <w:name w:val="Quote Char"/>
    <w:link w:val="Quote"/>
    <w:uiPriority w:val="29"/>
    <w:rsid w:val="00D313B1"/>
    <w:rPr>
      <w:rFonts w:ascii="Verdana" w:hAnsi="Verdana"/>
      <w:i/>
      <w:iCs/>
      <w:color w:val="404040"/>
      <w:szCs w:val="24"/>
      <w:lang w:eastAsia="en-US"/>
    </w:rPr>
  </w:style>
  <w:style w:type="paragraph" w:styleId="ListParagraph">
    <w:name w:val="List Paragraph"/>
    <w:basedOn w:val="Normal"/>
    <w:uiPriority w:val="34"/>
    <w:qFormat/>
    <w:rsid w:val="00AB2E83"/>
    <w:pPr>
      <w:ind w:left="720"/>
      <w:contextualSpacing/>
    </w:pPr>
  </w:style>
  <w:style w:type="character" w:styleId="CommentReference">
    <w:name w:val="annotation reference"/>
    <w:basedOn w:val="DefaultParagraphFont"/>
    <w:semiHidden/>
    <w:unhideWhenUsed/>
    <w:rsid w:val="007108F3"/>
    <w:rPr>
      <w:sz w:val="16"/>
      <w:szCs w:val="16"/>
    </w:rPr>
  </w:style>
  <w:style w:type="paragraph" w:styleId="CommentText">
    <w:name w:val="annotation text"/>
    <w:basedOn w:val="Normal"/>
    <w:link w:val="CommentTextChar"/>
    <w:semiHidden/>
    <w:unhideWhenUsed/>
    <w:rsid w:val="007108F3"/>
    <w:rPr>
      <w:szCs w:val="20"/>
    </w:rPr>
  </w:style>
  <w:style w:type="character" w:customStyle="1" w:styleId="CommentTextChar">
    <w:name w:val="Comment Text Char"/>
    <w:basedOn w:val="DefaultParagraphFont"/>
    <w:link w:val="CommentText"/>
    <w:semiHidden/>
    <w:rsid w:val="007108F3"/>
    <w:rPr>
      <w:rFonts w:ascii="Verdana" w:hAnsi="Verdana"/>
      <w:lang w:eastAsia="en-US"/>
    </w:rPr>
  </w:style>
  <w:style w:type="paragraph" w:styleId="CommentSubject">
    <w:name w:val="annotation subject"/>
    <w:basedOn w:val="CommentText"/>
    <w:next w:val="CommentText"/>
    <w:link w:val="CommentSubjectChar"/>
    <w:semiHidden/>
    <w:unhideWhenUsed/>
    <w:rsid w:val="007108F3"/>
    <w:rPr>
      <w:b/>
      <w:bCs/>
    </w:rPr>
  </w:style>
  <w:style w:type="character" w:customStyle="1" w:styleId="CommentSubjectChar">
    <w:name w:val="Comment Subject Char"/>
    <w:basedOn w:val="CommentTextChar"/>
    <w:link w:val="CommentSubject"/>
    <w:semiHidden/>
    <w:rsid w:val="007108F3"/>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51129">
      <w:bodyDiv w:val="1"/>
      <w:marLeft w:val="0"/>
      <w:marRight w:val="0"/>
      <w:marTop w:val="0"/>
      <w:marBottom w:val="0"/>
      <w:divBdr>
        <w:top w:val="none" w:sz="0" w:space="0" w:color="auto"/>
        <w:left w:val="none" w:sz="0" w:space="0" w:color="auto"/>
        <w:bottom w:val="none" w:sz="0" w:space="0" w:color="auto"/>
        <w:right w:val="none" w:sz="0" w:space="0" w:color="auto"/>
      </w:divBdr>
    </w:div>
    <w:div w:id="216160684">
      <w:bodyDiv w:val="1"/>
      <w:marLeft w:val="0"/>
      <w:marRight w:val="0"/>
      <w:marTop w:val="0"/>
      <w:marBottom w:val="0"/>
      <w:divBdr>
        <w:top w:val="none" w:sz="0" w:space="0" w:color="auto"/>
        <w:left w:val="none" w:sz="0" w:space="0" w:color="auto"/>
        <w:bottom w:val="none" w:sz="0" w:space="0" w:color="auto"/>
        <w:right w:val="none" w:sz="0" w:space="0" w:color="auto"/>
      </w:divBdr>
    </w:div>
    <w:div w:id="784620275">
      <w:bodyDiv w:val="1"/>
      <w:marLeft w:val="0"/>
      <w:marRight w:val="0"/>
      <w:marTop w:val="0"/>
      <w:marBottom w:val="0"/>
      <w:divBdr>
        <w:top w:val="none" w:sz="0" w:space="0" w:color="auto"/>
        <w:left w:val="none" w:sz="0" w:space="0" w:color="auto"/>
        <w:bottom w:val="none" w:sz="0" w:space="0" w:color="auto"/>
        <w:right w:val="none" w:sz="0" w:space="0" w:color="auto"/>
      </w:divBdr>
    </w:div>
    <w:div w:id="882059800">
      <w:bodyDiv w:val="1"/>
      <w:marLeft w:val="0"/>
      <w:marRight w:val="0"/>
      <w:marTop w:val="0"/>
      <w:marBottom w:val="0"/>
      <w:divBdr>
        <w:top w:val="none" w:sz="0" w:space="0" w:color="auto"/>
        <w:left w:val="none" w:sz="0" w:space="0" w:color="auto"/>
        <w:bottom w:val="none" w:sz="0" w:space="0" w:color="auto"/>
        <w:right w:val="none" w:sz="0" w:space="0" w:color="auto"/>
      </w:divBdr>
    </w:div>
    <w:div w:id="947002342">
      <w:bodyDiv w:val="1"/>
      <w:marLeft w:val="0"/>
      <w:marRight w:val="0"/>
      <w:marTop w:val="0"/>
      <w:marBottom w:val="0"/>
      <w:divBdr>
        <w:top w:val="none" w:sz="0" w:space="0" w:color="auto"/>
        <w:left w:val="none" w:sz="0" w:space="0" w:color="auto"/>
        <w:bottom w:val="none" w:sz="0" w:space="0" w:color="auto"/>
        <w:right w:val="none" w:sz="0" w:space="0" w:color="auto"/>
      </w:divBdr>
    </w:div>
    <w:div w:id="1282037292">
      <w:bodyDiv w:val="1"/>
      <w:marLeft w:val="0"/>
      <w:marRight w:val="0"/>
      <w:marTop w:val="0"/>
      <w:marBottom w:val="0"/>
      <w:divBdr>
        <w:top w:val="none" w:sz="0" w:space="0" w:color="auto"/>
        <w:left w:val="none" w:sz="0" w:space="0" w:color="auto"/>
        <w:bottom w:val="none" w:sz="0" w:space="0" w:color="auto"/>
        <w:right w:val="none" w:sz="0" w:space="0" w:color="auto"/>
      </w:divBdr>
    </w:div>
    <w:div w:id="1458798017">
      <w:bodyDiv w:val="1"/>
      <w:marLeft w:val="0"/>
      <w:marRight w:val="0"/>
      <w:marTop w:val="0"/>
      <w:marBottom w:val="0"/>
      <w:divBdr>
        <w:top w:val="none" w:sz="0" w:space="0" w:color="auto"/>
        <w:left w:val="none" w:sz="0" w:space="0" w:color="auto"/>
        <w:bottom w:val="none" w:sz="0" w:space="0" w:color="auto"/>
        <w:right w:val="none" w:sz="0" w:space="0" w:color="auto"/>
      </w:divBdr>
    </w:div>
    <w:div w:id="183784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anh\Downloads\Course%20Programme%20with%20Purpose%20Outcomes%20and%20Benefits%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8FD23-766D-4807-827D-BE9997A99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Programme with Purpose Outcomes and Benefits (1)</Template>
  <TotalTime>1</TotalTime>
  <Pages>3</Pages>
  <Words>607</Words>
  <Characters>3419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TAKING STOCK OF EFFICIENCY PLANS</vt:lpstr>
    </vt:vector>
  </TitlesOfParts>
  <Company>IPF</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STOCK OF EFFICIENCY PLANS</dc:title>
  <dc:subject/>
  <dc:creator>Henry, Dean</dc:creator>
  <cp:keywords>NOT-APPL -</cp:keywords>
  <dc:description/>
  <cp:lastModifiedBy>Dawn Highton</cp:lastModifiedBy>
  <cp:revision>2</cp:revision>
  <cp:lastPrinted>2020-01-30T09:16:00Z</cp:lastPrinted>
  <dcterms:created xsi:type="dcterms:W3CDTF">2023-09-15T12:21:00Z</dcterms:created>
  <dcterms:modified xsi:type="dcterms:W3CDTF">2023-09-15T12:21:00Z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lassification">
    <vt:lpwstr>NOT-APPL</vt:lpwstr>
  </property>
  <property fmtid="{D5CDD505-2E9C-101B-9397-08002B2CF9AE}" pid="4" name="Source">
    <vt:lpwstr>External</vt:lpwstr>
  </property>
  <property fmtid="{D5CDD505-2E9C-101B-9397-08002B2CF9AE}" pid="5" name="Footers">
    <vt:lpwstr>External No Footers</vt:lpwstr>
  </property>
  <property fmtid="{D5CDD505-2E9C-101B-9397-08002B2CF9AE}" pid="6" name="DocClassification">
    <vt:lpwstr>CLANOTAPP</vt:lpwstr>
  </property>
</Properties>
</file>